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4AE87">
      <w:pPr>
        <w:pStyle w:val="16"/>
      </w:pPr>
      <w:r>
        <w:rPr>
          <w:rFonts w:hint="eastAsia"/>
        </w:rPr>
        <w:t>重庆市大渡口区新袁茄路南段道路工程</w:t>
      </w:r>
      <w:r>
        <w:br w:type="textWrapping"/>
      </w:r>
      <w:r>
        <w:rPr>
          <w:rFonts w:hint="eastAsia"/>
        </w:rPr>
        <w:t>道路照明施工图设计说明</w:t>
      </w:r>
    </w:p>
    <w:p w14:paraId="09B844E4">
      <w:pPr>
        <w:pStyle w:val="4"/>
        <w:ind w:firstLine="560"/>
        <w:sectPr>
          <w:pgSz w:w="23811" w:h="16838" w:orient="landscape"/>
          <w:pgMar w:top="1440" w:right="1800" w:bottom="1440" w:left="1800" w:header="851" w:footer="992" w:gutter="0"/>
          <w:cols w:space="425" w:num="1"/>
          <w:docGrid w:type="lines" w:linePitch="381" w:charSpace="0"/>
        </w:sectPr>
      </w:pPr>
    </w:p>
    <w:p w14:paraId="7D379C1E">
      <w:pPr>
        <w:pStyle w:val="2"/>
      </w:pPr>
      <w:r>
        <w:rPr>
          <w:rFonts w:hint="eastAsia"/>
        </w:rPr>
        <w:t>概述</w:t>
      </w:r>
    </w:p>
    <w:p w14:paraId="596D1B11">
      <w:pPr>
        <w:pStyle w:val="3"/>
      </w:pPr>
      <w:r>
        <w:t>工程名称：</w:t>
      </w:r>
      <w:r>
        <w:rPr>
          <w:rFonts w:hint="eastAsia"/>
        </w:rPr>
        <w:t>重庆市大渡口区新袁茄路南段道路</w:t>
      </w:r>
    </w:p>
    <w:p w14:paraId="49B431DE">
      <w:pPr>
        <w:pStyle w:val="3"/>
      </w:pPr>
      <w:r>
        <w:rPr>
          <w:rFonts w:hint="eastAsia"/>
        </w:rPr>
        <w:t>项目区位</w:t>
      </w:r>
      <w:r>
        <w:t>：</w:t>
      </w:r>
    </w:p>
    <w:p w14:paraId="20E9F18F">
      <w:pPr>
        <w:pStyle w:val="36"/>
      </w:pPr>
      <w:r>
        <w:drawing>
          <wp:inline distT="0" distB="0" distL="114300" distR="114300">
            <wp:extent cx="4775200" cy="30861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lum bright="18000"/>
                    </a:blip>
                    <a:stretch>
                      <a:fillRect/>
                    </a:stretch>
                  </pic:blipFill>
                  <pic:spPr>
                    <a:xfrm>
                      <a:off x="0" y="0"/>
                      <a:ext cx="4775200" cy="3086100"/>
                    </a:xfrm>
                    <a:prstGeom prst="rect">
                      <a:avLst/>
                    </a:prstGeom>
                    <a:noFill/>
                    <a:ln>
                      <a:noFill/>
                    </a:ln>
                  </pic:spPr>
                </pic:pic>
              </a:graphicData>
            </a:graphic>
          </wp:inline>
        </w:drawing>
      </w:r>
    </w:p>
    <w:p w14:paraId="49E4C19B">
      <w:pPr>
        <w:pStyle w:val="39"/>
        <w:rPr>
          <w:color w:val="auto"/>
        </w:rPr>
      </w:pPr>
      <w:bookmarkStart w:id="0" w:name="_Ref40207133"/>
      <w:r>
        <w:rPr>
          <w:rFonts w:hint="eastAsia"/>
          <w:color w:val="auto"/>
        </w:rPr>
        <w:t>图</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color w:val="auto"/>
        </w:rPr>
        <w:t>1</w:t>
      </w:r>
      <w:r>
        <w:rPr>
          <w:rFonts w:hint="eastAsia"/>
          <w:color w:val="auto"/>
        </w:rPr>
        <w:fldChar w:fldCharType="end"/>
      </w:r>
      <w:r>
        <w:rPr>
          <w:rFonts w:hint="eastAsia"/>
          <w:color w:val="auto"/>
        </w:rPr>
        <w:noBreakHyphen/>
      </w:r>
      <w:r>
        <w:rPr>
          <w:rFonts w:hint="eastAsia"/>
          <w:color w:val="auto"/>
        </w:rPr>
        <w:fldChar w:fldCharType="begin"/>
      </w:r>
      <w:r>
        <w:rPr>
          <w:rFonts w:hint="eastAsia"/>
          <w:color w:val="auto"/>
        </w:rPr>
        <w:instrText xml:space="preserve"> SEQ 图 \* ARABIC \s 1 </w:instrText>
      </w:r>
      <w:r>
        <w:rPr>
          <w:rFonts w:hint="eastAsia"/>
          <w:color w:val="auto"/>
        </w:rPr>
        <w:fldChar w:fldCharType="separate"/>
      </w:r>
      <w:r>
        <w:rPr>
          <w:color w:val="auto"/>
        </w:rPr>
        <w:t>1</w:t>
      </w:r>
      <w:r>
        <w:rPr>
          <w:rFonts w:hint="eastAsia"/>
          <w:color w:val="auto"/>
        </w:rPr>
        <w:fldChar w:fldCharType="end"/>
      </w:r>
      <w:bookmarkEnd w:id="0"/>
    </w:p>
    <w:p w14:paraId="5A6AF733">
      <w:pPr>
        <w:pStyle w:val="4"/>
        <w:ind w:firstLine="560"/>
      </w:pPr>
      <w:r>
        <w:rPr>
          <w:rFonts w:hint="eastAsia"/>
        </w:rPr>
        <w:t>大渡口区是重庆都市发达经济圈九区之一，位于重庆主城核心区以内，其中心区域大渡口组团是重庆主城十二个中心组团之一，在重庆经济发展中发挥着重要作用。重庆直辖以来，大渡口区经济发展迅速，城市化进程也较快，但大渡口区农村与城市并存，经济发展不平衡，这与重庆主城与都市圈社会经济发展总体要求是极不相称的。经济要发展，交通需先行，大力发展道路交通是加快城市化进程、促进社会经济发展的重要突破口之一。</w:t>
      </w:r>
    </w:p>
    <w:p w14:paraId="39E4DD77">
      <w:pPr>
        <w:pStyle w:val="4"/>
        <w:ind w:firstLine="560"/>
        <w:rPr>
          <w:color w:val="auto"/>
        </w:rPr>
      </w:pPr>
      <w:r>
        <w:rPr>
          <w:rFonts w:hint="eastAsia"/>
        </w:rPr>
        <w:t>现状袁茄路是一条南北向的骨架主干路，是连接九龙坡区袁家岗与大渡口区茄子溪主要通道，其中串联了大公馆立交、石坪桥立交、水碾立交、迎宾立交、大渡口立交。但袁茄路南端尽头目前为断头路，本次设计打通袁茄路，让袁茄路南北贯通，更好的起到交通服务</w:t>
      </w:r>
      <w:r>
        <w:rPr>
          <w:rFonts w:hint="eastAsia"/>
          <w:color w:val="auto"/>
        </w:rPr>
        <w:t>功能。项目区域位置图见</w:t>
      </w:r>
      <w:r>
        <w:rPr>
          <w:color w:val="auto"/>
        </w:rPr>
        <w:fldChar w:fldCharType="begin"/>
      </w:r>
      <w:r>
        <w:rPr>
          <w:color w:val="auto"/>
        </w:rPr>
        <w:instrText xml:space="preserve"> </w:instrText>
      </w:r>
      <w:r>
        <w:rPr>
          <w:rFonts w:hint="eastAsia"/>
          <w:color w:val="auto"/>
        </w:rPr>
        <w:instrText xml:space="preserve">REF _Ref40207133</w:instrText>
      </w:r>
      <w:r>
        <w:rPr>
          <w:color w:val="auto"/>
        </w:rPr>
        <w:instrText xml:space="preserve"> </w:instrText>
      </w:r>
      <w:r>
        <w:rPr>
          <w:color w:val="auto"/>
        </w:rPr>
        <w:fldChar w:fldCharType="separate"/>
      </w:r>
      <w:r>
        <w:rPr>
          <w:rFonts w:hint="eastAsia"/>
          <w:color w:val="auto"/>
        </w:rPr>
        <w:t>图</w:t>
      </w:r>
      <w:r>
        <w:rPr>
          <w:color w:val="auto"/>
        </w:rPr>
        <w:t>1</w:t>
      </w:r>
      <w:r>
        <w:rPr>
          <w:rFonts w:hint="eastAsia"/>
          <w:color w:val="auto"/>
        </w:rPr>
        <w:noBreakHyphen/>
      </w:r>
      <w:r>
        <w:rPr>
          <w:color w:val="auto"/>
        </w:rPr>
        <w:t>1</w:t>
      </w:r>
      <w:r>
        <w:rPr>
          <w:color w:val="auto"/>
        </w:rPr>
        <w:fldChar w:fldCharType="end"/>
      </w:r>
      <w:r>
        <w:rPr>
          <w:rFonts w:hint="eastAsia"/>
          <w:color w:val="auto"/>
        </w:rPr>
        <w:t>。</w:t>
      </w:r>
    </w:p>
    <w:p w14:paraId="6434C8E7">
      <w:pPr>
        <w:pStyle w:val="4"/>
        <w:ind w:firstLine="560"/>
        <w:rPr>
          <w:color w:val="auto"/>
        </w:rPr>
      </w:pPr>
      <w:r>
        <w:rPr>
          <w:rFonts w:hint="eastAsia"/>
          <w:color w:val="auto"/>
        </w:rPr>
        <w:t>新袁茄路标准路幅宽度</w:t>
      </w:r>
      <w:r>
        <w:rPr>
          <w:color w:val="auto"/>
        </w:rPr>
        <w:t>44m，具体路幅分配如下：</w:t>
      </w:r>
    </w:p>
    <w:p w14:paraId="2CD51945">
      <w:pPr>
        <w:pStyle w:val="4"/>
        <w:ind w:firstLine="560"/>
        <w:rPr>
          <w:rFonts w:hint="eastAsia"/>
          <w:color w:val="auto"/>
        </w:rPr>
      </w:pPr>
      <w:r>
        <w:rPr>
          <w:color w:val="auto"/>
        </w:rPr>
        <w:t>9m（人行道）+11.5m（车行道）+3m（中央分隔带）+11.5m（车行道）+9m（人行道）=44m</w:t>
      </w:r>
      <w:r>
        <w:rPr>
          <w:rFonts w:hint="eastAsia"/>
          <w:color w:val="auto"/>
        </w:rPr>
        <w:t>。</w:t>
      </w:r>
    </w:p>
    <w:p w14:paraId="4BB26355">
      <w:pPr>
        <w:pStyle w:val="4"/>
        <w:ind w:firstLine="560"/>
        <w:rPr>
          <w:color w:val="auto"/>
        </w:rPr>
      </w:pPr>
      <w:r>
        <w:rPr>
          <w:rFonts w:hint="eastAsia"/>
          <w:color w:val="auto"/>
          <w:lang w:eastAsia="zh-CN"/>
        </w:rPr>
        <w:t>因拆迁原因，近期该道路按支路标准，临时保通。</w:t>
      </w:r>
      <w:r>
        <w:rPr>
          <w:rFonts w:hint="eastAsia"/>
          <w:color w:val="auto"/>
        </w:rPr>
        <w:t>标准路幅宽度</w:t>
      </w:r>
      <w:r>
        <w:rPr>
          <w:rFonts w:hint="eastAsia"/>
          <w:color w:val="auto"/>
          <w:lang w:val="en-US" w:eastAsia="zh-CN"/>
        </w:rPr>
        <w:t>9.5</w:t>
      </w:r>
      <w:r>
        <w:rPr>
          <w:color w:val="auto"/>
        </w:rPr>
        <w:t>m，具体路幅分配如下：</w:t>
      </w:r>
    </w:p>
    <w:p w14:paraId="44C9E9B6">
      <w:pPr>
        <w:pStyle w:val="4"/>
        <w:ind w:firstLine="560"/>
        <w:rPr>
          <w:color w:val="auto"/>
        </w:rPr>
      </w:pPr>
      <w:r>
        <w:rPr>
          <w:rFonts w:hint="eastAsia"/>
          <w:color w:val="auto"/>
          <w:lang w:val="en-US" w:eastAsia="zh-CN"/>
        </w:rPr>
        <w:t>2</w:t>
      </w:r>
      <w:r>
        <w:rPr>
          <w:color w:val="auto"/>
        </w:rPr>
        <w:t>m（人行道）+</w:t>
      </w:r>
      <w:r>
        <w:rPr>
          <w:rFonts w:hint="eastAsia"/>
          <w:color w:val="auto"/>
          <w:lang w:val="en-US" w:eastAsia="zh-CN"/>
        </w:rPr>
        <w:t>7</w:t>
      </w:r>
      <w:r>
        <w:rPr>
          <w:color w:val="auto"/>
        </w:rPr>
        <w:t>.5m（车行道）=</w:t>
      </w:r>
      <w:r>
        <w:rPr>
          <w:rFonts w:hint="eastAsia"/>
          <w:color w:val="auto"/>
          <w:lang w:val="en-US" w:eastAsia="zh-CN"/>
        </w:rPr>
        <w:t>9.5</w:t>
      </w:r>
      <w:r>
        <w:rPr>
          <w:color w:val="auto"/>
        </w:rPr>
        <w:t>m</w:t>
      </w:r>
      <w:r>
        <w:rPr>
          <w:rFonts w:hint="eastAsia"/>
          <w:color w:val="auto"/>
        </w:rPr>
        <w:t>。</w:t>
      </w:r>
    </w:p>
    <w:p w14:paraId="1C10FFA4">
      <w:pPr>
        <w:pStyle w:val="3"/>
        <w:rPr>
          <w:color w:val="auto"/>
        </w:rPr>
      </w:pPr>
      <w:r>
        <w:rPr>
          <w:rFonts w:hint="eastAsia"/>
          <w:color w:val="auto"/>
        </w:rPr>
        <w:t>工程简况</w:t>
      </w:r>
    </w:p>
    <w:p w14:paraId="30C3974F">
      <w:pPr>
        <w:pStyle w:val="4"/>
        <w:ind w:firstLine="560"/>
        <w:rPr>
          <w:rFonts w:hint="default" w:eastAsia="仿宋_GB2312"/>
          <w:color w:val="auto"/>
          <w:lang w:val="en-US" w:eastAsia="zh-CN"/>
        </w:rPr>
      </w:pPr>
      <w:r>
        <w:rPr>
          <w:rFonts w:hint="eastAsia"/>
          <w:color w:val="auto"/>
        </w:rPr>
        <w:t>新袁茄路南延伸段道路位于大渡口区金家湾立交东侧，</w:t>
      </w:r>
      <w:r>
        <w:rPr>
          <w:color w:val="auto"/>
        </w:rPr>
        <w:t>新建道路，起点接现状金桥路，终点与现状镁桥路、金中大道相交。</w:t>
      </w:r>
      <w:r>
        <w:rPr>
          <w:rFonts w:hint="eastAsia"/>
          <w:color w:val="auto"/>
          <w:lang w:eastAsia="zh-CN"/>
        </w:rPr>
        <w:t>规划</w:t>
      </w:r>
      <w:r>
        <w:rPr>
          <w:color w:val="auto"/>
        </w:rPr>
        <w:t>按照城市主干路，设计车速40km/h，双向四车道，标准路幅宽度4</w:t>
      </w:r>
      <w:r>
        <w:rPr>
          <w:rFonts w:hint="eastAsia"/>
          <w:color w:val="auto"/>
          <w:lang w:val="en-US" w:eastAsia="zh-CN"/>
        </w:rPr>
        <w:t>4</w:t>
      </w:r>
      <w:r>
        <w:rPr>
          <w:color w:val="auto"/>
        </w:rPr>
        <w:t>m。</w:t>
      </w:r>
      <w:r>
        <w:rPr>
          <w:rFonts w:hint="eastAsia"/>
          <w:color w:val="auto"/>
          <w:lang w:eastAsia="zh-CN"/>
        </w:rPr>
        <w:t>因拆迁原因，道路有</w:t>
      </w:r>
      <w:r>
        <w:rPr>
          <w:rFonts w:hint="eastAsia"/>
          <w:color w:val="auto"/>
          <w:lang w:val="en-US" w:eastAsia="zh-CN"/>
        </w:rPr>
        <w:t>60米未实施，为保证道路临时贯通，</w:t>
      </w:r>
      <w:r>
        <w:rPr>
          <w:rFonts w:hint="eastAsia"/>
          <w:color w:val="auto"/>
          <w:lang w:eastAsia="zh-CN"/>
        </w:rPr>
        <w:t>近期该道路按双向两车道考虑。远期建筑拆迁后道路恢复为</w:t>
      </w:r>
      <w:r>
        <w:rPr>
          <w:rFonts w:hint="eastAsia"/>
          <w:color w:val="auto"/>
          <w:lang w:val="en-US" w:eastAsia="zh-CN"/>
        </w:rPr>
        <w:t>44米，主干道。</w:t>
      </w:r>
    </w:p>
    <w:p w14:paraId="532BEF26">
      <w:pPr>
        <w:pStyle w:val="4"/>
        <w:ind w:firstLine="560"/>
        <w:rPr>
          <w:color w:val="auto"/>
        </w:rPr>
      </w:pPr>
      <w:r>
        <w:rPr>
          <w:rFonts w:hint="eastAsia"/>
          <w:color w:val="auto"/>
        </w:rPr>
        <w:t>路面结构为混凝土沥青路面。本册设计为道路照明施工图设计。</w:t>
      </w:r>
    </w:p>
    <w:p w14:paraId="578263F6">
      <w:pPr>
        <w:pStyle w:val="2"/>
        <w:rPr>
          <w:color w:val="auto"/>
        </w:rPr>
      </w:pPr>
      <w:r>
        <w:rPr>
          <w:rFonts w:hint="eastAsia"/>
          <w:color w:val="auto"/>
        </w:rPr>
        <w:t>设计依据</w:t>
      </w:r>
    </w:p>
    <w:p w14:paraId="4041C86E">
      <w:pPr>
        <w:pStyle w:val="45"/>
        <w:rPr>
          <w:color w:val="auto"/>
        </w:rPr>
      </w:pPr>
      <w:r>
        <w:rPr>
          <w:rFonts w:hint="eastAsia"/>
          <w:color w:val="auto"/>
        </w:rPr>
        <w:t>《</w:t>
      </w:r>
      <w:r>
        <w:rPr>
          <w:color w:val="auto"/>
        </w:rPr>
        <w:t xml:space="preserve">城市道路工程设计规范》CJJ37-2012（2016版）； </w:t>
      </w:r>
    </w:p>
    <w:p w14:paraId="36B30BAA">
      <w:pPr>
        <w:pStyle w:val="45"/>
        <w:rPr>
          <w:color w:val="auto"/>
        </w:rPr>
      </w:pPr>
      <w:r>
        <w:rPr>
          <w:color w:val="auto"/>
        </w:rPr>
        <w:t>《城市道路照明设计标准》CJJ45-2015；</w:t>
      </w:r>
    </w:p>
    <w:p w14:paraId="0DD33B39">
      <w:pPr>
        <w:pStyle w:val="45"/>
      </w:pPr>
      <w:r>
        <w:rPr>
          <w:rFonts w:hint="eastAsia"/>
          <w:color w:val="auto"/>
        </w:rPr>
        <w:t>《民用建筑电气设计标准》G</w:t>
      </w:r>
      <w:r>
        <w:rPr>
          <w:color w:val="auto"/>
        </w:rPr>
        <w:t>B</w:t>
      </w:r>
      <w:r>
        <w:rPr>
          <w:rFonts w:hint="eastAsia"/>
          <w:color w:val="auto"/>
        </w:rPr>
        <w:t>51348-2019</w:t>
      </w:r>
      <w:r>
        <w:rPr>
          <w:rFonts w:hint="eastAsia"/>
        </w:rPr>
        <w:t>；</w:t>
      </w:r>
    </w:p>
    <w:p w14:paraId="7B93B19A">
      <w:pPr>
        <w:pStyle w:val="45"/>
      </w:pPr>
      <w:r>
        <w:t>《低压配电设计规范》GB50054-2011；</w:t>
      </w:r>
    </w:p>
    <w:p w14:paraId="6C114E1D">
      <w:pPr>
        <w:pStyle w:val="45"/>
      </w:pPr>
      <w:r>
        <w:t>《供配电系统设计规范》GB50052-2009；</w:t>
      </w:r>
    </w:p>
    <w:p w14:paraId="6EEEA166">
      <w:pPr>
        <w:pStyle w:val="45"/>
      </w:pPr>
      <w:r>
        <w:t>《建筑物防雷设计规范》GB50057-2010；</w:t>
      </w:r>
    </w:p>
    <w:p w14:paraId="53B2B16D">
      <w:pPr>
        <w:pStyle w:val="45"/>
      </w:pPr>
      <w:r>
        <w:t>《电力工程电缆设计标准》GB50217-2018；</w:t>
      </w:r>
    </w:p>
    <w:p w14:paraId="094D87AE">
      <w:pPr>
        <w:pStyle w:val="45"/>
      </w:pPr>
      <w:r>
        <w:t>《城市工程管线综合规划规范》GB50289-2016；</w:t>
      </w:r>
    </w:p>
    <w:p w14:paraId="7E5AD2F5">
      <w:pPr>
        <w:pStyle w:val="45"/>
      </w:pPr>
      <w:r>
        <w:t>《20KV及以下变电所设计规范》GB50053-2013；</w:t>
      </w:r>
    </w:p>
    <w:p w14:paraId="7D5BFC68">
      <w:pPr>
        <w:pStyle w:val="45"/>
      </w:pPr>
      <w:r>
        <w:t>《LED城市道路照明应用技术要求》GB/T31832-2015；</w:t>
      </w:r>
    </w:p>
    <w:p w14:paraId="4CEF2847">
      <w:pPr>
        <w:pStyle w:val="45"/>
      </w:pPr>
      <w:r>
        <w:t>《LED路灯》CJ/T420-2013；</w:t>
      </w:r>
    </w:p>
    <w:p w14:paraId="0DE9076F">
      <w:pPr>
        <w:pStyle w:val="45"/>
      </w:pPr>
      <w:r>
        <w:rPr>
          <w:rFonts w:hint="eastAsia"/>
        </w:rPr>
        <w:t>《道路和隧道照明用L</w:t>
      </w:r>
      <w:r>
        <w:t>ED</w:t>
      </w:r>
      <w:r>
        <w:rPr>
          <w:rFonts w:hint="eastAsia"/>
        </w:rPr>
        <w:t>灯具能效限定值及能效等级》G</w:t>
      </w:r>
      <w:r>
        <w:t>B</w:t>
      </w:r>
      <w:r>
        <w:rPr>
          <w:rFonts w:hint="eastAsia"/>
        </w:rPr>
        <w:t>37478-2019；</w:t>
      </w:r>
    </w:p>
    <w:p w14:paraId="3FCEE66B">
      <w:pPr>
        <w:pStyle w:val="45"/>
      </w:pPr>
      <w:r>
        <w:t>《城市道路照明工程施工及验收规程》CJJ89-2012；</w:t>
      </w:r>
    </w:p>
    <w:p w14:paraId="7F6A8071">
      <w:pPr>
        <w:pStyle w:val="45"/>
      </w:pPr>
      <w:r>
        <w:t>《建筑电气工程施工质量验收规范》GB50303-2015;</w:t>
      </w:r>
    </w:p>
    <w:p w14:paraId="33CE6CA2">
      <w:pPr>
        <w:pStyle w:val="45"/>
      </w:pPr>
      <w:r>
        <w:t>《混凝土结构工程施工质量验收规范》GB50204-2015；</w:t>
      </w:r>
    </w:p>
    <w:p w14:paraId="112A46D1">
      <w:pPr>
        <w:pStyle w:val="45"/>
      </w:pPr>
      <w:r>
        <w:t>《砌体结构工程施工质量验收规范》GB50203-2011；</w:t>
      </w:r>
    </w:p>
    <w:p w14:paraId="1DEB69BD">
      <w:pPr>
        <w:pStyle w:val="45"/>
      </w:pPr>
      <w:r>
        <w:t>《建筑地基基础工程施工质量验收规范》GB50202-2002；</w:t>
      </w:r>
    </w:p>
    <w:p w14:paraId="6B4438C5">
      <w:pPr>
        <w:pStyle w:val="45"/>
      </w:pPr>
      <w:r>
        <w:t>《电气装置安装工程电缆线路施工及验收标准》GB50168-2018；</w:t>
      </w:r>
    </w:p>
    <w:p w14:paraId="3342D7DA">
      <w:pPr>
        <w:pStyle w:val="45"/>
      </w:pPr>
      <w:r>
        <w:t>《电气装置安装工程接地装置施工及验收规范》GB50169-2016；</w:t>
      </w:r>
    </w:p>
    <w:p w14:paraId="265F8A75">
      <w:pPr>
        <w:pStyle w:val="45"/>
      </w:pPr>
      <w:r>
        <w:t>《电气装置安装工程低压电器施工及验收规范》GB50254-2014；</w:t>
      </w:r>
    </w:p>
    <w:p w14:paraId="3A4F7030">
      <w:pPr>
        <w:pStyle w:val="45"/>
      </w:pPr>
      <w:r>
        <w:t>《电气装置安装工程盘、柜及二次回路接线施工及验收规范》GB50171-2012;</w:t>
      </w:r>
    </w:p>
    <w:p w14:paraId="148FB86F">
      <w:pPr>
        <w:pStyle w:val="45"/>
      </w:pPr>
      <w:r>
        <w:t>《电气装置安装工程电气设备交接试验标准》GB50150-2016；</w:t>
      </w:r>
    </w:p>
    <w:p w14:paraId="33275161">
      <w:pPr>
        <w:pStyle w:val="45"/>
      </w:pPr>
      <w:r>
        <w:rPr>
          <w:rFonts w:hint="eastAsia"/>
          <w:lang w:eastAsia="zh-CN"/>
        </w:rPr>
        <w:t>《建筑电气与智能化通用规范》</w:t>
      </w:r>
      <w:r>
        <w:rPr>
          <w:rFonts w:hint="eastAsia"/>
          <w:lang w:val="en-US" w:eastAsia="zh-CN"/>
        </w:rPr>
        <w:t>GB55024-2022</w:t>
      </w:r>
    </w:p>
    <w:p w14:paraId="68A32961">
      <w:pPr>
        <w:pStyle w:val="45"/>
      </w:pPr>
      <w:r>
        <w:t>其他相关国家、地方现行标准及规范。</w:t>
      </w:r>
    </w:p>
    <w:p w14:paraId="56774AC6">
      <w:pPr>
        <w:pStyle w:val="2"/>
      </w:pPr>
      <w:r>
        <w:rPr>
          <w:rFonts w:hint="eastAsia"/>
        </w:rPr>
        <w:t>设计范围</w:t>
      </w:r>
    </w:p>
    <w:p w14:paraId="397C7448">
      <w:pPr>
        <w:pStyle w:val="4"/>
        <w:ind w:firstLine="560"/>
      </w:pPr>
      <w:r>
        <w:rPr>
          <w:rFonts w:hint="eastAsia"/>
        </w:rPr>
        <w:t>本次设计包括上述范围内的以下内容：</w:t>
      </w:r>
    </w:p>
    <w:p w14:paraId="7685CCA3">
      <w:pPr>
        <w:pStyle w:val="46"/>
      </w:pPr>
      <w:r>
        <w:rPr>
          <w:rFonts w:hint="eastAsia"/>
        </w:rPr>
        <w:t>道路照明系统。</w:t>
      </w:r>
    </w:p>
    <w:p w14:paraId="06088B4B">
      <w:pPr>
        <w:pStyle w:val="46"/>
      </w:pPr>
      <w:r>
        <w:rPr>
          <w:rFonts w:hint="eastAsia"/>
        </w:rPr>
        <w:t>道路照明供配电系统。</w:t>
      </w:r>
    </w:p>
    <w:p w14:paraId="10D47C50">
      <w:pPr>
        <w:pStyle w:val="46"/>
      </w:pPr>
      <w:r>
        <w:rPr>
          <w:rFonts w:hint="eastAsia"/>
        </w:rPr>
        <w:t>安全措施。</w:t>
      </w:r>
    </w:p>
    <w:p w14:paraId="42B1C827">
      <w:pPr>
        <w:pStyle w:val="2"/>
      </w:pPr>
      <w:r>
        <w:rPr>
          <w:rFonts w:hint="eastAsia"/>
        </w:rPr>
        <w:t>上阶段审查意见及执行情况</w:t>
      </w:r>
    </w:p>
    <w:p w14:paraId="34DB51CD">
      <w:pPr>
        <w:pStyle w:val="46"/>
        <w:numPr>
          <w:ilvl w:val="0"/>
          <w:numId w:val="4"/>
        </w:numPr>
      </w:pPr>
      <w:r>
        <w:t>工程概况中宜明确路幅分配情况。</w:t>
      </w:r>
    </w:p>
    <w:p w14:paraId="5CDDFD70">
      <w:pPr>
        <w:pStyle w:val="4"/>
        <w:ind w:firstLine="560"/>
      </w:pPr>
      <w:r>
        <w:rPr>
          <w:rFonts w:hint="eastAsia"/>
        </w:rPr>
        <w:t>回复：在说明中补充路幅分配情况。</w:t>
      </w:r>
    </w:p>
    <w:p w14:paraId="4B5094F8">
      <w:pPr>
        <w:pStyle w:val="46"/>
      </w:pPr>
      <w:r>
        <w:t>本工程为主干路，所有与本路交叉的路口照度均不应小于50lx标准。应明各类确灯具的配光要求，明确人行道照明灯具的灯臂长度。智能照明控制系统的功能要有可实施性。</w:t>
      </w:r>
    </w:p>
    <w:p w14:paraId="6D6FBB6B">
      <w:pPr>
        <w:pStyle w:val="4"/>
        <w:ind w:firstLine="560"/>
      </w:pPr>
      <w:r>
        <w:rPr>
          <w:rFonts w:hint="eastAsia"/>
        </w:rPr>
        <w:t>回复：经复核，交叉路口照度均满足不小于</w:t>
      </w:r>
      <w:r>
        <w:t>50lx的规范标准。说明6.3已明确本次设计采用中配光LED光源；在说明6.2明确标准段人行道侧路灯灯臂长度为1米；本次未设计箱变，采用配电箱供电，配电箱由附近箱变供电，考虑到周边道路多为近年新建道路，设计阶段考虑做单灯控制，避免后期因路灯管理部门要求增加造价超出概算金额，后期实施时路灯控制以路灯管理部门要求为准。</w:t>
      </w:r>
    </w:p>
    <w:p w14:paraId="7275E317">
      <w:pPr>
        <w:pStyle w:val="46"/>
      </w:pPr>
      <w:r>
        <w:t>应明确路灯手孔井至灯杆段管线的敷设要求，在大样图中表达清楚。 回复：布置于生物滞留带内的连接管，用P6防渗混凝土按10x10cm满包。在图纸C-F-09第二页说明中补充该内容。</w:t>
      </w:r>
    </w:p>
    <w:p w14:paraId="24C6695B">
      <w:pPr>
        <w:pStyle w:val="46"/>
      </w:pPr>
      <w:r>
        <w:t>在区位图中宜表达箱变的位置和编号。箱变的供电半径大于900米，太大。</w:t>
      </w:r>
    </w:p>
    <w:p w14:paraId="6AC47CF5">
      <w:pPr>
        <w:pStyle w:val="4"/>
        <w:ind w:firstLine="560"/>
      </w:pPr>
      <w:r>
        <w:rPr>
          <w:rFonts w:hint="eastAsia"/>
        </w:rPr>
        <w:t>回复：本次初步设计阶段未能落实箱变位置，已告知业主落实周边现状箱变情况，在施工图阶段前落实箱变位置及配电箱进线情况。</w:t>
      </w:r>
    </w:p>
    <w:p w14:paraId="0EFAA5FD">
      <w:pPr>
        <w:pStyle w:val="46"/>
      </w:pPr>
      <w:r>
        <w:t>照明配电箱系统图中，道路左右侧照明回路的容量、长度、电压降的计算值有误，与平面图不一致，照明平面图中应标注回路编号。进线和出线电缆的截面积大于16mm*后，应采用4芯等截面+1芯半截面电缆。</w:t>
      </w:r>
    </w:p>
    <w:p w14:paraId="4115D00F">
      <w:pPr>
        <w:pStyle w:val="4"/>
        <w:ind w:firstLine="560"/>
      </w:pPr>
      <w:r>
        <w:rPr>
          <w:rFonts w:hint="eastAsia"/>
        </w:rPr>
        <w:t>回复：经复核，</w:t>
      </w:r>
      <w:r>
        <w:t>1N1回路为7.5kW，更正1N1回路负荷。复核照明回路的容量、长度、电压降，在平面图上标准回路编号。修改1N1回路电缆为YJV-4*25+1*16电缆，调整照明出线回路断路器为带剩余电流动作（额定剩余动作电流100mA）的断路器。</w:t>
      </w:r>
    </w:p>
    <w:p w14:paraId="0D2B9448">
      <w:pPr>
        <w:pStyle w:val="2"/>
      </w:pPr>
      <w:r>
        <w:rPr>
          <w:rFonts w:hint="eastAsia"/>
        </w:rPr>
        <w:t>照明供配电系统</w:t>
      </w:r>
    </w:p>
    <w:p w14:paraId="5BE449B9">
      <w:pPr>
        <w:pStyle w:val="46"/>
        <w:numPr>
          <w:ilvl w:val="0"/>
          <w:numId w:val="5"/>
        </w:numPr>
      </w:pPr>
      <w:r>
        <w:rPr>
          <w:rFonts w:hint="eastAsia"/>
        </w:rPr>
        <w:t>本工程负荷为三级用电负荷，道路照明设备容量</w:t>
      </w:r>
      <w:r>
        <w:t>33</w:t>
      </w:r>
      <w:r>
        <w:rPr>
          <w:rFonts w:hint="eastAsia"/>
        </w:rPr>
        <w:t>.</w:t>
      </w:r>
      <w:r>
        <w:t>92</w:t>
      </w:r>
      <w:r>
        <w:rPr>
          <w:rFonts w:hint="eastAsia"/>
        </w:rPr>
        <w:t>kW（含预留照明负荷2</w:t>
      </w:r>
      <w:r>
        <w:t>0</w:t>
      </w:r>
      <w:r>
        <w:rPr>
          <w:rFonts w:hint="eastAsia"/>
        </w:rPr>
        <w:t>k</w:t>
      </w:r>
      <w:r>
        <w:t>W</w:t>
      </w:r>
      <w:r>
        <w:rPr>
          <w:rFonts w:hint="eastAsia"/>
        </w:rPr>
        <w:t>），预留其他负荷用电</w:t>
      </w:r>
      <w:r>
        <w:t>30</w:t>
      </w:r>
      <w:r>
        <w:rPr>
          <w:rFonts w:hint="eastAsia"/>
        </w:rPr>
        <w:t>k</w:t>
      </w:r>
      <w:r>
        <w:t>W</w:t>
      </w:r>
      <w:r>
        <w:rPr>
          <w:rFonts w:hint="eastAsia"/>
        </w:rPr>
        <w:t>。本次设计范围未含箱变</w:t>
      </w:r>
      <w:r>
        <w:rPr>
          <w:rFonts w:hint="eastAsia"/>
          <w:lang w:eastAsia="zh-CN"/>
        </w:rPr>
        <w:t>，拟建道路路灯接入现状项目。</w:t>
      </w:r>
    </w:p>
    <w:p w14:paraId="146051BB">
      <w:pPr>
        <w:pStyle w:val="46"/>
      </w:pPr>
      <w:r>
        <w:rPr>
          <w:rFonts w:hint="eastAsia"/>
        </w:rPr>
        <w:t>本工程道路照明设备采用户外照明箱变供电，箱变电源就近取自城市</w:t>
      </w:r>
      <w:r>
        <w:t>10kV高压公共电网，低压出线采用220/380V电压。</w:t>
      </w:r>
    </w:p>
    <w:p w14:paraId="28135B43">
      <w:pPr>
        <w:pStyle w:val="46"/>
      </w:pPr>
      <w:r>
        <w:t>根据道路本次设计</w:t>
      </w:r>
      <w:r>
        <w:rPr>
          <w:rFonts w:hint="eastAsia"/>
        </w:rPr>
        <w:t>道路</w:t>
      </w:r>
      <w:r>
        <w:t>，考虑路网整体合理性及低压供电电缆的电压损失、熔断器灵敏度校验、供配电系统的经济性以及预留用电负荷</w:t>
      </w:r>
      <w:r>
        <w:rPr>
          <w:rFonts w:hint="eastAsia"/>
        </w:rPr>
        <w:t>，设置1台户外照明箱变，容量</w:t>
      </w:r>
      <w:r>
        <w:t>80</w:t>
      </w:r>
      <w:r>
        <w:rPr>
          <w:rFonts w:hint="eastAsia"/>
        </w:rPr>
        <w:t>k</w:t>
      </w:r>
      <w:r>
        <w:t>VA</w:t>
      </w:r>
      <w:r>
        <w:rPr>
          <w:rFonts w:hint="eastAsia"/>
        </w:rPr>
        <w:t>，布置于袁茄路南段与金钟大道相交路口东南侧人行道边。</w:t>
      </w:r>
    </w:p>
    <w:p w14:paraId="7D30EDCE">
      <w:pPr>
        <w:pStyle w:val="46"/>
      </w:pPr>
      <w:r>
        <w:rPr>
          <w:rFonts w:hint="eastAsia"/>
        </w:rPr>
        <w:t>本工程采用</w:t>
      </w:r>
      <w:r>
        <w:t>TN-S配电系统，路灯专用变压器的低压供电半径</w:t>
      </w:r>
      <w:r>
        <w:rPr>
          <w:rFonts w:hint="eastAsia"/>
        </w:rPr>
        <w:t>正常</w:t>
      </w:r>
      <w:r>
        <w:t>在7</w:t>
      </w:r>
      <w:r>
        <w:rPr>
          <w:rFonts w:hint="eastAsia"/>
        </w:rPr>
        <w:t>5</w:t>
      </w:r>
      <w:r>
        <w:t>0米左右。要求正常运行情况下，照明灯具端电压应为额定电压的90%~105%。</w:t>
      </w:r>
    </w:p>
    <w:p w14:paraId="591FE9E0">
      <w:pPr>
        <w:pStyle w:val="46"/>
      </w:pPr>
      <w:r>
        <w:rPr>
          <w:rFonts w:hint="eastAsia"/>
        </w:rPr>
        <w:t>无功补偿：</w:t>
      </w:r>
      <w:r>
        <w:t>LED路灯灯具单灯功率因数不小于0.95，其它设备功率因数补偿至0.85以上，由电源接入点再设集中补偿，补偿后的功率因数达到0.92。</w:t>
      </w:r>
    </w:p>
    <w:p w14:paraId="385C21E6">
      <w:pPr>
        <w:pStyle w:val="46"/>
      </w:pPr>
      <w:r>
        <w:rPr>
          <w:rFonts w:hint="eastAsia"/>
        </w:rPr>
        <w:t>计量方式：计量方式：采用低压计量方式，根据不同用电性质（道路照明、交通监控、景观等）分别计量。</w:t>
      </w:r>
    </w:p>
    <w:p w14:paraId="418D4122">
      <w:pPr>
        <w:pStyle w:val="2"/>
      </w:pPr>
      <w:r>
        <w:rPr>
          <w:rFonts w:hint="eastAsia"/>
        </w:rPr>
        <w:t>道路照明系统设计</w:t>
      </w:r>
    </w:p>
    <w:p w14:paraId="63088141">
      <w:pPr>
        <w:pStyle w:val="3"/>
      </w:pPr>
      <w:r>
        <w:rPr>
          <w:rFonts w:hint="eastAsia"/>
        </w:rPr>
        <w:t>本项目道路照明设计标准：</w:t>
      </w:r>
    </w:p>
    <w:p w14:paraId="2AE7F3CA">
      <w:pPr>
        <w:pStyle w:val="4"/>
        <w:rPr>
          <w:rFonts w:hint="eastAsia"/>
          <w:lang w:val="en-US" w:eastAsia="zh-CN"/>
        </w:rPr>
      </w:pPr>
      <w:r>
        <w:rPr>
          <w:rFonts w:hint="eastAsia"/>
          <w:lang w:eastAsia="zh-CN"/>
        </w:rPr>
        <w:t>因本次设计范围内前后段，均为主干道，本段</w:t>
      </w:r>
      <w:r>
        <w:rPr>
          <w:rFonts w:hint="eastAsia"/>
          <w:lang w:val="en-US" w:eastAsia="zh-CN"/>
        </w:rPr>
        <w:t>60米道路，按主干道照明标准设计，灯杆风格及路灯功率与现状道路一致。远期建筑拆迁后，对本段路灯进行迁建。</w:t>
      </w:r>
    </w:p>
    <w:p w14:paraId="4DE1828F">
      <w:pPr>
        <w:pStyle w:val="4"/>
        <w:rPr>
          <w:rFonts w:hint="eastAsia"/>
          <w:lang w:val="en-US" w:eastAsia="zh-CN"/>
        </w:rPr>
      </w:pPr>
    </w:p>
    <w:p w14:paraId="3B8C06D3">
      <w:pPr>
        <w:pStyle w:val="4"/>
        <w:rPr>
          <w:rFonts w:hint="default"/>
          <w:lang w:val="en-US" w:eastAsia="zh-CN"/>
        </w:rPr>
      </w:pPr>
    </w:p>
    <w:p w14:paraId="58537487">
      <w:pPr>
        <w:pStyle w:val="42"/>
      </w:pPr>
      <w:r>
        <w:rPr>
          <w:rFonts w:hint="eastAsia"/>
        </w:rPr>
        <w:t>车行道照明设计标准</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260"/>
        <w:gridCol w:w="1064"/>
        <w:gridCol w:w="1151"/>
        <w:gridCol w:w="1254"/>
        <w:gridCol w:w="979"/>
        <w:gridCol w:w="1666"/>
        <w:gridCol w:w="979"/>
        <w:gridCol w:w="1080"/>
      </w:tblGrid>
      <w:tr w14:paraId="72CB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335" w:type="pct"/>
            <w:vMerge w:val="restart"/>
            <w:vAlign w:val="center"/>
          </w:tcPr>
          <w:p w14:paraId="14AA37B0">
            <w:pPr>
              <w:pStyle w:val="37"/>
            </w:pPr>
            <w:r>
              <w:rPr>
                <w:rFonts w:hint="eastAsia"/>
              </w:rPr>
              <w:t>道路类型</w:t>
            </w:r>
          </w:p>
        </w:tc>
        <w:tc>
          <w:tcPr>
            <w:tcW w:w="1718" w:type="pct"/>
            <w:gridSpan w:val="3"/>
            <w:vAlign w:val="center"/>
          </w:tcPr>
          <w:p w14:paraId="612709D7">
            <w:pPr>
              <w:pStyle w:val="37"/>
            </w:pPr>
            <w:r>
              <w:rPr>
                <w:rFonts w:hint="eastAsia"/>
              </w:rPr>
              <w:t>路面亮度</w:t>
            </w:r>
          </w:p>
        </w:tc>
        <w:tc>
          <w:tcPr>
            <w:tcW w:w="1104" w:type="pct"/>
            <w:gridSpan w:val="2"/>
            <w:vAlign w:val="center"/>
          </w:tcPr>
          <w:p w14:paraId="31B17212">
            <w:pPr>
              <w:pStyle w:val="37"/>
            </w:pPr>
            <w:r>
              <w:rPr>
                <w:rFonts w:hint="eastAsia"/>
              </w:rPr>
              <w:t>路面照度</w:t>
            </w:r>
          </w:p>
        </w:tc>
        <w:tc>
          <w:tcPr>
            <w:tcW w:w="824" w:type="pct"/>
            <w:vMerge w:val="restart"/>
            <w:vAlign w:val="center"/>
          </w:tcPr>
          <w:p w14:paraId="7F71E4C4">
            <w:pPr>
              <w:pStyle w:val="37"/>
            </w:pPr>
            <w:r>
              <w:rPr>
                <w:rFonts w:hint="eastAsia"/>
              </w:rPr>
              <w:t>眩光制阈值增量T1(%)最大初始值</w:t>
            </w:r>
          </w:p>
        </w:tc>
        <w:tc>
          <w:tcPr>
            <w:tcW w:w="484" w:type="pct"/>
            <w:vMerge w:val="restart"/>
            <w:vAlign w:val="center"/>
          </w:tcPr>
          <w:p w14:paraId="4F62374D">
            <w:pPr>
              <w:pStyle w:val="37"/>
            </w:pPr>
            <w:r>
              <w:rPr>
                <w:rFonts w:hint="eastAsia"/>
              </w:rPr>
              <w:t>环境比SR最小值</w:t>
            </w:r>
          </w:p>
        </w:tc>
        <w:tc>
          <w:tcPr>
            <w:tcW w:w="534" w:type="pct"/>
            <w:vMerge w:val="restart"/>
            <w:vAlign w:val="center"/>
          </w:tcPr>
          <w:p w14:paraId="05F067CF">
            <w:pPr>
              <w:pStyle w:val="37"/>
            </w:pPr>
            <w:r>
              <w:rPr>
                <w:rFonts w:hint="eastAsia"/>
              </w:rPr>
              <w:t>L</w:t>
            </w:r>
            <w:r>
              <w:t>PD</w:t>
            </w:r>
            <w:r>
              <w:rPr>
                <w:rFonts w:hint="eastAsia"/>
              </w:rPr>
              <w:t>限值（W/m2）</w:t>
            </w:r>
          </w:p>
        </w:tc>
      </w:tr>
      <w:tr w14:paraId="58C1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335" w:type="pct"/>
            <w:vMerge w:val="continue"/>
            <w:vAlign w:val="center"/>
          </w:tcPr>
          <w:p w14:paraId="73C03110">
            <w:pPr>
              <w:pStyle w:val="37"/>
            </w:pPr>
          </w:p>
        </w:tc>
        <w:tc>
          <w:tcPr>
            <w:tcW w:w="623" w:type="pct"/>
            <w:vAlign w:val="center"/>
          </w:tcPr>
          <w:p w14:paraId="2F272E12">
            <w:pPr>
              <w:pStyle w:val="37"/>
            </w:pPr>
            <w:r>
              <w:rPr>
                <w:rFonts w:hint="eastAsia"/>
              </w:rPr>
              <w:t>平均亮度Lav(cd/m</w:t>
            </w:r>
            <w:r>
              <w:rPr>
                <w:rFonts w:ascii="Calibri" w:hAnsi="Calibri" w:cs="Calibri"/>
              </w:rPr>
              <w:t>²</w:t>
            </w:r>
            <w:r>
              <w:rPr>
                <w:rFonts w:hint="eastAsia"/>
              </w:rPr>
              <w:t>)</w:t>
            </w:r>
          </w:p>
        </w:tc>
        <w:tc>
          <w:tcPr>
            <w:tcW w:w="526" w:type="pct"/>
            <w:vAlign w:val="center"/>
          </w:tcPr>
          <w:p w14:paraId="0D1F3ABD">
            <w:pPr>
              <w:pStyle w:val="37"/>
            </w:pPr>
            <w:r>
              <w:rPr>
                <w:rFonts w:hint="eastAsia"/>
              </w:rPr>
              <w:t>总均匀度Uo最小值</w:t>
            </w:r>
          </w:p>
        </w:tc>
        <w:tc>
          <w:tcPr>
            <w:tcW w:w="569" w:type="pct"/>
            <w:vAlign w:val="center"/>
          </w:tcPr>
          <w:p w14:paraId="021D221B">
            <w:pPr>
              <w:pStyle w:val="37"/>
            </w:pPr>
            <w:r>
              <w:rPr>
                <w:rFonts w:hint="eastAsia"/>
              </w:rPr>
              <w:t>纵向均匀度UL最小值</w:t>
            </w:r>
          </w:p>
        </w:tc>
        <w:tc>
          <w:tcPr>
            <w:tcW w:w="620" w:type="pct"/>
            <w:vAlign w:val="center"/>
          </w:tcPr>
          <w:p w14:paraId="32B21730">
            <w:pPr>
              <w:pStyle w:val="37"/>
            </w:pPr>
            <w:r>
              <w:rPr>
                <w:rFonts w:hint="eastAsia"/>
              </w:rPr>
              <w:t>平均照度Eav(lx)维持值</w:t>
            </w:r>
          </w:p>
        </w:tc>
        <w:tc>
          <w:tcPr>
            <w:tcW w:w="484" w:type="pct"/>
            <w:vAlign w:val="center"/>
          </w:tcPr>
          <w:p w14:paraId="75305AD0">
            <w:pPr>
              <w:pStyle w:val="37"/>
            </w:pPr>
            <w:r>
              <w:rPr>
                <w:rFonts w:hint="eastAsia"/>
              </w:rPr>
              <w:t>均匀度UE最小值</w:t>
            </w:r>
          </w:p>
        </w:tc>
        <w:tc>
          <w:tcPr>
            <w:tcW w:w="824" w:type="pct"/>
            <w:vMerge w:val="continue"/>
            <w:vAlign w:val="center"/>
          </w:tcPr>
          <w:p w14:paraId="5B18CE41">
            <w:pPr>
              <w:pStyle w:val="37"/>
            </w:pPr>
          </w:p>
        </w:tc>
        <w:tc>
          <w:tcPr>
            <w:tcW w:w="484" w:type="pct"/>
            <w:vMerge w:val="continue"/>
            <w:vAlign w:val="center"/>
          </w:tcPr>
          <w:p w14:paraId="61AD74A5">
            <w:pPr>
              <w:pStyle w:val="37"/>
            </w:pPr>
          </w:p>
        </w:tc>
        <w:tc>
          <w:tcPr>
            <w:tcW w:w="534" w:type="pct"/>
            <w:vMerge w:val="continue"/>
            <w:vAlign w:val="center"/>
          </w:tcPr>
          <w:p w14:paraId="5660C065">
            <w:pPr>
              <w:pStyle w:val="37"/>
            </w:pPr>
          </w:p>
        </w:tc>
      </w:tr>
      <w:tr w14:paraId="4461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35" w:type="pct"/>
            <w:shd w:val="clear" w:color="auto" w:fill="FFFFFF"/>
            <w:vAlign w:val="center"/>
          </w:tcPr>
          <w:p w14:paraId="1F4D1255">
            <w:pPr>
              <w:pStyle w:val="37"/>
            </w:pPr>
            <w:r>
              <w:rPr>
                <w:rFonts w:hint="eastAsia"/>
              </w:rPr>
              <w:t>主干路</w:t>
            </w:r>
          </w:p>
        </w:tc>
        <w:tc>
          <w:tcPr>
            <w:tcW w:w="623" w:type="pct"/>
            <w:shd w:val="clear" w:color="auto" w:fill="FFFFFF"/>
            <w:vAlign w:val="center"/>
          </w:tcPr>
          <w:p w14:paraId="6AC519D2">
            <w:pPr>
              <w:pStyle w:val="37"/>
            </w:pPr>
            <w:r>
              <w:t>2</w:t>
            </w:r>
          </w:p>
        </w:tc>
        <w:tc>
          <w:tcPr>
            <w:tcW w:w="526" w:type="pct"/>
            <w:shd w:val="clear" w:color="auto" w:fill="FFFFFF"/>
            <w:vAlign w:val="center"/>
          </w:tcPr>
          <w:p w14:paraId="267C906A">
            <w:pPr>
              <w:pStyle w:val="37"/>
            </w:pPr>
            <w:r>
              <w:rPr>
                <w:rFonts w:hint="eastAsia"/>
              </w:rPr>
              <w:t>0.4</w:t>
            </w:r>
          </w:p>
        </w:tc>
        <w:tc>
          <w:tcPr>
            <w:tcW w:w="569" w:type="pct"/>
            <w:shd w:val="clear" w:color="auto" w:fill="FFFFFF"/>
            <w:vAlign w:val="center"/>
          </w:tcPr>
          <w:p w14:paraId="13BD078E">
            <w:pPr>
              <w:pStyle w:val="37"/>
            </w:pPr>
            <w:r>
              <w:t>0.7</w:t>
            </w:r>
          </w:p>
        </w:tc>
        <w:tc>
          <w:tcPr>
            <w:tcW w:w="620" w:type="pct"/>
            <w:shd w:val="clear" w:color="auto" w:fill="FFFFFF"/>
            <w:vAlign w:val="center"/>
          </w:tcPr>
          <w:p w14:paraId="55D78C48">
            <w:pPr>
              <w:pStyle w:val="37"/>
            </w:pPr>
            <w:r>
              <w:t>30</w:t>
            </w:r>
          </w:p>
        </w:tc>
        <w:tc>
          <w:tcPr>
            <w:tcW w:w="484" w:type="pct"/>
            <w:shd w:val="clear" w:color="auto" w:fill="FFFFFF"/>
            <w:vAlign w:val="center"/>
          </w:tcPr>
          <w:p w14:paraId="492D7AC0">
            <w:pPr>
              <w:pStyle w:val="37"/>
            </w:pPr>
            <w:r>
              <w:t>0.4</w:t>
            </w:r>
          </w:p>
        </w:tc>
        <w:tc>
          <w:tcPr>
            <w:tcW w:w="824" w:type="pct"/>
            <w:shd w:val="clear" w:color="auto" w:fill="FFFFFF"/>
            <w:vAlign w:val="center"/>
          </w:tcPr>
          <w:p w14:paraId="70CAF45C">
            <w:pPr>
              <w:pStyle w:val="37"/>
            </w:pPr>
            <w:r>
              <w:t>10</w:t>
            </w:r>
          </w:p>
        </w:tc>
        <w:tc>
          <w:tcPr>
            <w:tcW w:w="484" w:type="pct"/>
            <w:shd w:val="clear" w:color="auto" w:fill="FFFFFF"/>
            <w:vAlign w:val="center"/>
          </w:tcPr>
          <w:p w14:paraId="350D5ABE">
            <w:pPr>
              <w:pStyle w:val="37"/>
            </w:pPr>
            <w:r>
              <w:t>0.5</w:t>
            </w:r>
          </w:p>
        </w:tc>
        <w:tc>
          <w:tcPr>
            <w:tcW w:w="534" w:type="pct"/>
            <w:shd w:val="clear" w:color="auto" w:fill="FFFFFF"/>
            <w:vAlign w:val="center"/>
          </w:tcPr>
          <w:p w14:paraId="5C5F0576">
            <w:pPr>
              <w:pStyle w:val="37"/>
            </w:pPr>
            <w:r>
              <w:t>1</w:t>
            </w:r>
          </w:p>
        </w:tc>
      </w:tr>
    </w:tbl>
    <w:p w14:paraId="585E7D8A">
      <w:pPr>
        <w:pStyle w:val="42"/>
      </w:pPr>
      <w:r>
        <w:rPr>
          <w:rFonts w:hint="eastAsia"/>
        </w:rPr>
        <w:t>车行道照明设计参数</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412"/>
        <w:gridCol w:w="901"/>
        <w:gridCol w:w="1068"/>
        <w:gridCol w:w="1080"/>
        <w:gridCol w:w="977"/>
        <w:gridCol w:w="1367"/>
        <w:gridCol w:w="884"/>
        <w:gridCol w:w="1353"/>
      </w:tblGrid>
      <w:tr w14:paraId="090F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528" w:type="pct"/>
            <w:vMerge w:val="restart"/>
            <w:vAlign w:val="center"/>
          </w:tcPr>
          <w:p w14:paraId="3C02ED13">
            <w:pPr>
              <w:pStyle w:val="37"/>
              <w:keepNext/>
            </w:pPr>
            <w:r>
              <w:rPr>
                <w:rFonts w:hint="eastAsia"/>
              </w:rPr>
              <w:t>道路类型</w:t>
            </w:r>
          </w:p>
        </w:tc>
        <w:tc>
          <w:tcPr>
            <w:tcW w:w="1673" w:type="pct"/>
            <w:gridSpan w:val="3"/>
            <w:vAlign w:val="center"/>
          </w:tcPr>
          <w:p w14:paraId="574DD8DA">
            <w:pPr>
              <w:pStyle w:val="37"/>
              <w:keepNext/>
            </w:pPr>
            <w:r>
              <w:rPr>
                <w:rFonts w:hint="eastAsia"/>
              </w:rPr>
              <w:t>路面亮度</w:t>
            </w:r>
          </w:p>
        </w:tc>
        <w:tc>
          <w:tcPr>
            <w:tcW w:w="1017" w:type="pct"/>
            <w:gridSpan w:val="2"/>
            <w:vAlign w:val="center"/>
          </w:tcPr>
          <w:p w14:paraId="60851310">
            <w:pPr>
              <w:pStyle w:val="37"/>
              <w:keepNext/>
            </w:pPr>
            <w:r>
              <w:rPr>
                <w:rFonts w:hint="eastAsia"/>
              </w:rPr>
              <w:t>路面照度</w:t>
            </w:r>
          </w:p>
        </w:tc>
        <w:tc>
          <w:tcPr>
            <w:tcW w:w="676" w:type="pct"/>
            <w:vMerge w:val="restart"/>
            <w:vAlign w:val="center"/>
          </w:tcPr>
          <w:p w14:paraId="6C392DEB">
            <w:pPr>
              <w:pStyle w:val="37"/>
              <w:keepNext/>
            </w:pPr>
            <w:r>
              <w:rPr>
                <w:rFonts w:hint="eastAsia"/>
              </w:rPr>
              <w:t>眩光制阈值增量T1(%)最大初始值</w:t>
            </w:r>
          </w:p>
        </w:tc>
        <w:tc>
          <w:tcPr>
            <w:tcW w:w="437" w:type="pct"/>
            <w:vMerge w:val="restart"/>
            <w:vAlign w:val="center"/>
          </w:tcPr>
          <w:p w14:paraId="68A379CB">
            <w:pPr>
              <w:pStyle w:val="37"/>
              <w:keepNext/>
            </w:pPr>
            <w:r>
              <w:rPr>
                <w:rFonts w:hint="eastAsia"/>
              </w:rPr>
              <w:t>环境比SR最小值</w:t>
            </w:r>
          </w:p>
        </w:tc>
        <w:tc>
          <w:tcPr>
            <w:tcW w:w="669" w:type="pct"/>
            <w:vMerge w:val="restart"/>
            <w:vAlign w:val="center"/>
          </w:tcPr>
          <w:p w14:paraId="62845076">
            <w:pPr>
              <w:pStyle w:val="37"/>
              <w:keepNext/>
            </w:pPr>
            <w:r>
              <w:rPr>
                <w:rFonts w:hint="eastAsia"/>
              </w:rPr>
              <w:t>L</w:t>
            </w:r>
            <w:r>
              <w:t>PD</w:t>
            </w:r>
            <w:r>
              <w:rPr>
                <w:rFonts w:hint="eastAsia"/>
              </w:rPr>
              <w:t>限值（W/m</w:t>
            </w:r>
            <w:r>
              <w:rPr>
                <w:rFonts w:hint="eastAsia"/>
                <w:vertAlign w:val="superscript"/>
              </w:rPr>
              <w:t>2</w:t>
            </w:r>
            <w:r>
              <w:rPr>
                <w:rFonts w:hint="eastAsia"/>
              </w:rPr>
              <w:t>）</w:t>
            </w:r>
          </w:p>
        </w:tc>
      </w:tr>
      <w:tr w14:paraId="4719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4" w:hRule="atLeast"/>
          <w:jc w:val="center"/>
        </w:trPr>
        <w:tc>
          <w:tcPr>
            <w:tcW w:w="528" w:type="pct"/>
            <w:vMerge w:val="continue"/>
            <w:vAlign w:val="center"/>
          </w:tcPr>
          <w:p w14:paraId="3B2212B9">
            <w:pPr>
              <w:pStyle w:val="37"/>
              <w:keepNext/>
            </w:pPr>
          </w:p>
        </w:tc>
        <w:tc>
          <w:tcPr>
            <w:tcW w:w="699" w:type="pct"/>
            <w:vAlign w:val="center"/>
          </w:tcPr>
          <w:p w14:paraId="25350BBD">
            <w:pPr>
              <w:pStyle w:val="37"/>
              <w:keepNext/>
            </w:pPr>
            <w:r>
              <w:rPr>
                <w:rFonts w:hint="eastAsia"/>
              </w:rPr>
              <w:t>平均亮度Lav(cd/m</w:t>
            </w:r>
            <w:r>
              <w:rPr>
                <w:rFonts w:ascii="Calibri" w:hAnsi="Calibri" w:cs="Calibri"/>
              </w:rPr>
              <w:t>²</w:t>
            </w:r>
            <w:r>
              <w:rPr>
                <w:rFonts w:hint="eastAsia"/>
              </w:rPr>
              <w:t>)</w:t>
            </w:r>
          </w:p>
        </w:tc>
        <w:tc>
          <w:tcPr>
            <w:tcW w:w="446" w:type="pct"/>
            <w:vAlign w:val="center"/>
          </w:tcPr>
          <w:p w14:paraId="7F1024E7">
            <w:pPr>
              <w:pStyle w:val="37"/>
              <w:keepNext/>
            </w:pPr>
            <w:r>
              <w:rPr>
                <w:rFonts w:hint="eastAsia"/>
              </w:rPr>
              <w:t>总均匀度Uo最小值</w:t>
            </w:r>
          </w:p>
        </w:tc>
        <w:tc>
          <w:tcPr>
            <w:tcW w:w="528" w:type="pct"/>
            <w:vAlign w:val="center"/>
          </w:tcPr>
          <w:p w14:paraId="2964AA8E">
            <w:pPr>
              <w:pStyle w:val="37"/>
              <w:keepNext/>
            </w:pPr>
            <w:r>
              <w:rPr>
                <w:rFonts w:hint="eastAsia"/>
              </w:rPr>
              <w:t>纵向均匀度UL最小值</w:t>
            </w:r>
          </w:p>
        </w:tc>
        <w:tc>
          <w:tcPr>
            <w:tcW w:w="534" w:type="pct"/>
            <w:vAlign w:val="center"/>
          </w:tcPr>
          <w:p w14:paraId="15EFCE26">
            <w:pPr>
              <w:pStyle w:val="37"/>
              <w:keepNext/>
            </w:pPr>
            <w:r>
              <w:rPr>
                <w:rFonts w:hint="eastAsia"/>
              </w:rPr>
              <w:t>平均照度Eav(lx)维持值</w:t>
            </w:r>
          </w:p>
        </w:tc>
        <w:tc>
          <w:tcPr>
            <w:tcW w:w="483" w:type="pct"/>
            <w:vAlign w:val="center"/>
          </w:tcPr>
          <w:p w14:paraId="2BC44300">
            <w:pPr>
              <w:pStyle w:val="37"/>
              <w:keepNext/>
            </w:pPr>
            <w:r>
              <w:rPr>
                <w:rFonts w:hint="eastAsia"/>
              </w:rPr>
              <w:t>均匀度UE最小值</w:t>
            </w:r>
          </w:p>
        </w:tc>
        <w:tc>
          <w:tcPr>
            <w:tcW w:w="676" w:type="pct"/>
            <w:vMerge w:val="continue"/>
            <w:vAlign w:val="center"/>
          </w:tcPr>
          <w:p w14:paraId="234B1D82">
            <w:pPr>
              <w:pStyle w:val="37"/>
              <w:keepNext/>
            </w:pPr>
          </w:p>
        </w:tc>
        <w:tc>
          <w:tcPr>
            <w:tcW w:w="437" w:type="pct"/>
            <w:vMerge w:val="continue"/>
            <w:vAlign w:val="center"/>
          </w:tcPr>
          <w:p w14:paraId="13B7DB25">
            <w:pPr>
              <w:pStyle w:val="37"/>
              <w:keepNext/>
            </w:pPr>
          </w:p>
        </w:tc>
        <w:tc>
          <w:tcPr>
            <w:tcW w:w="669" w:type="pct"/>
            <w:vMerge w:val="continue"/>
            <w:vAlign w:val="center"/>
          </w:tcPr>
          <w:p w14:paraId="0F5EE8E5">
            <w:pPr>
              <w:pStyle w:val="37"/>
              <w:keepNext/>
            </w:pPr>
          </w:p>
        </w:tc>
      </w:tr>
      <w:tr w14:paraId="3B92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528" w:type="pct"/>
            <w:shd w:val="clear" w:color="auto" w:fill="FFFFFF"/>
            <w:vAlign w:val="center"/>
          </w:tcPr>
          <w:p w14:paraId="31A4A207">
            <w:pPr>
              <w:pStyle w:val="37"/>
              <w:keepNext/>
            </w:pPr>
            <w:r>
              <w:rPr>
                <w:rFonts w:hint="eastAsia"/>
              </w:rPr>
              <w:t>主干路</w:t>
            </w:r>
          </w:p>
        </w:tc>
        <w:tc>
          <w:tcPr>
            <w:tcW w:w="699" w:type="pct"/>
            <w:shd w:val="clear" w:color="auto" w:fill="FFFFFF"/>
            <w:vAlign w:val="center"/>
          </w:tcPr>
          <w:p w14:paraId="13E8A230">
            <w:pPr>
              <w:pStyle w:val="37"/>
              <w:keepNext/>
            </w:pPr>
            <w:r>
              <w:rPr>
                <w:rFonts w:hint="eastAsia"/>
              </w:rPr>
              <w:t>2</w:t>
            </w:r>
            <w:r>
              <w:t>.138</w:t>
            </w:r>
          </w:p>
        </w:tc>
        <w:tc>
          <w:tcPr>
            <w:tcW w:w="446" w:type="pct"/>
            <w:shd w:val="clear" w:color="auto" w:fill="FFFFFF"/>
            <w:vAlign w:val="center"/>
          </w:tcPr>
          <w:p w14:paraId="5EA2D564">
            <w:pPr>
              <w:pStyle w:val="37"/>
              <w:keepNext/>
            </w:pPr>
            <w:r>
              <w:rPr>
                <w:rFonts w:hint="eastAsia"/>
              </w:rPr>
              <w:t>0.46</w:t>
            </w:r>
          </w:p>
        </w:tc>
        <w:tc>
          <w:tcPr>
            <w:tcW w:w="528" w:type="pct"/>
            <w:shd w:val="clear" w:color="auto" w:fill="FFFFFF"/>
            <w:vAlign w:val="center"/>
          </w:tcPr>
          <w:p w14:paraId="27E141E2">
            <w:pPr>
              <w:pStyle w:val="37"/>
              <w:keepNext/>
            </w:pPr>
            <w:r>
              <w:rPr>
                <w:rFonts w:hint="eastAsia"/>
              </w:rPr>
              <w:t>0</w:t>
            </w:r>
            <w:r>
              <w:t>.76</w:t>
            </w:r>
          </w:p>
        </w:tc>
        <w:tc>
          <w:tcPr>
            <w:tcW w:w="534" w:type="pct"/>
            <w:shd w:val="clear" w:color="auto" w:fill="FFFFFF"/>
            <w:vAlign w:val="center"/>
          </w:tcPr>
          <w:p w14:paraId="07A94BCE">
            <w:pPr>
              <w:pStyle w:val="37"/>
              <w:keepNext/>
            </w:pPr>
            <w:r>
              <w:t>32.07</w:t>
            </w:r>
          </w:p>
        </w:tc>
        <w:tc>
          <w:tcPr>
            <w:tcW w:w="483" w:type="pct"/>
            <w:shd w:val="clear" w:color="auto" w:fill="FFFFFF"/>
            <w:vAlign w:val="center"/>
          </w:tcPr>
          <w:p w14:paraId="04CDC301">
            <w:pPr>
              <w:pStyle w:val="37"/>
              <w:keepNext/>
            </w:pPr>
            <w:r>
              <w:t>0.42</w:t>
            </w:r>
          </w:p>
        </w:tc>
        <w:tc>
          <w:tcPr>
            <w:tcW w:w="676" w:type="pct"/>
            <w:shd w:val="clear" w:color="auto" w:fill="FFFFFF"/>
            <w:vAlign w:val="center"/>
          </w:tcPr>
          <w:p w14:paraId="64BEB46F">
            <w:pPr>
              <w:pStyle w:val="37"/>
              <w:keepNext/>
            </w:pPr>
            <w:r>
              <w:t>10</w:t>
            </w:r>
          </w:p>
        </w:tc>
        <w:tc>
          <w:tcPr>
            <w:tcW w:w="437" w:type="pct"/>
            <w:shd w:val="clear" w:color="auto" w:fill="FFFFFF"/>
            <w:vAlign w:val="center"/>
          </w:tcPr>
          <w:p w14:paraId="031CF393">
            <w:pPr>
              <w:pStyle w:val="37"/>
              <w:keepNext/>
            </w:pPr>
            <w:r>
              <w:rPr>
                <w:rFonts w:hint="eastAsia"/>
              </w:rPr>
              <w:t>0</w:t>
            </w:r>
            <w:r>
              <w:t>.6</w:t>
            </w:r>
          </w:p>
        </w:tc>
        <w:tc>
          <w:tcPr>
            <w:tcW w:w="669" w:type="pct"/>
            <w:shd w:val="clear" w:color="auto" w:fill="FFFFFF"/>
            <w:vAlign w:val="center"/>
          </w:tcPr>
          <w:p w14:paraId="08B8FB70">
            <w:pPr>
              <w:pStyle w:val="37"/>
              <w:keepNext/>
            </w:pPr>
            <w:r>
              <w:t>0.72</w:t>
            </w:r>
          </w:p>
        </w:tc>
      </w:tr>
    </w:tbl>
    <w:p w14:paraId="0B8437D8">
      <w:pPr>
        <w:pStyle w:val="4"/>
        <w:ind w:firstLine="560"/>
      </w:pPr>
      <w:r>
        <w:rPr>
          <w:rFonts w:hint="eastAsia"/>
        </w:rPr>
        <w:t>人行道平均照度维持值：主干路</w:t>
      </w:r>
      <w:r>
        <w:t>Eav≥15Lx；次干路Eav≥10Lx；支路Eav≥5Lx；</w:t>
      </w:r>
    </w:p>
    <w:p w14:paraId="6A5F1FE6">
      <w:pPr>
        <w:pStyle w:val="4"/>
        <w:ind w:firstLine="560"/>
        <w:rPr>
          <w:color w:val="auto"/>
        </w:rPr>
      </w:pPr>
      <w:r>
        <w:rPr>
          <w:rFonts w:hint="eastAsia"/>
          <w:color w:val="auto"/>
        </w:rPr>
        <w:t>主干路所在交叉口部分平均照度</w:t>
      </w:r>
      <w:r>
        <w:rPr>
          <w:color w:val="auto"/>
        </w:rPr>
        <w:t>Eav≥50Lx；次干路所在交叉口部分平均照度Eav≥30Lx；支路所在交叉口部分平均照度Eav≥20Lx。</w:t>
      </w:r>
      <w:r>
        <w:rPr>
          <w:rFonts w:hint="eastAsia"/>
          <w:color w:val="auto"/>
        </w:rPr>
        <w:t>经复核，本次设计新袁茄路（主干路）交叉路口照度均≥</w:t>
      </w:r>
      <w:r>
        <w:rPr>
          <w:color w:val="auto"/>
        </w:rPr>
        <w:t>50</w:t>
      </w:r>
      <w:r>
        <w:rPr>
          <w:rFonts w:hint="eastAsia"/>
          <w:color w:val="auto"/>
        </w:rPr>
        <w:t>lx。</w:t>
      </w:r>
    </w:p>
    <w:p w14:paraId="5E57B0DD">
      <w:pPr>
        <w:pStyle w:val="4"/>
        <w:ind w:firstLine="560"/>
        <w:rPr>
          <w:color w:val="auto"/>
        </w:rPr>
      </w:pPr>
      <w:r>
        <w:rPr>
          <w:rFonts w:hint="eastAsia"/>
          <w:color w:val="auto"/>
        </w:rPr>
        <w:t>眩光限制：灯具在80°和90°高度角方向上的光强分别不得超过30cd/1000lm和10cd/1000lm。</w:t>
      </w:r>
    </w:p>
    <w:p w14:paraId="65290738">
      <w:pPr>
        <w:pStyle w:val="3"/>
        <w:rPr>
          <w:color w:val="auto"/>
        </w:rPr>
      </w:pPr>
      <w:r>
        <w:rPr>
          <w:rFonts w:hint="eastAsia"/>
          <w:color w:val="auto"/>
        </w:rPr>
        <w:t>道路照明布置方式</w:t>
      </w:r>
    </w:p>
    <w:p w14:paraId="7206CFA0">
      <w:pPr>
        <w:pStyle w:val="4"/>
        <w:ind w:firstLine="560"/>
        <w:rPr>
          <w:color w:val="auto"/>
        </w:rPr>
      </w:pPr>
      <w:r>
        <w:rPr>
          <w:rFonts w:hint="eastAsia"/>
          <w:color w:val="auto"/>
        </w:rPr>
        <w:t>道路照明采用常规灯杆照明，灯杆布置在道路人行道上，灯杆中心距离车行道侧路缘石边缘</w:t>
      </w:r>
      <w:r>
        <w:rPr>
          <w:rFonts w:hint="eastAsia"/>
          <w:color w:val="auto"/>
          <w:lang w:val="en-US" w:eastAsia="zh-CN"/>
        </w:rPr>
        <w:t>0.6</w:t>
      </w:r>
      <w:r>
        <w:rPr>
          <w:rFonts w:hint="eastAsia"/>
          <w:color w:val="auto"/>
        </w:rPr>
        <w:t>米。路灯位置由道路中心线桩号或坐标定位。</w:t>
      </w:r>
    </w:p>
    <w:p w14:paraId="0A5816A1">
      <w:pPr>
        <w:pStyle w:val="4"/>
        <w:ind w:firstLine="560"/>
        <w:rPr>
          <w:color w:val="auto"/>
        </w:rPr>
      </w:pPr>
      <w:r>
        <w:rPr>
          <w:rFonts w:hint="eastAsia"/>
          <w:color w:val="auto"/>
        </w:rPr>
        <w:t>标准段路灯选用单杆双臂型，道路两侧对称布置。路灯车行道侧灯臂长1.5米，配</w:t>
      </w:r>
      <w:r>
        <w:rPr>
          <w:color w:val="auto"/>
        </w:rPr>
        <w:t>240WLED</w:t>
      </w:r>
      <w:r>
        <w:rPr>
          <w:rFonts w:hint="eastAsia"/>
          <w:color w:val="auto"/>
        </w:rPr>
        <w:t>灯具，仰角1</w:t>
      </w:r>
      <w:r>
        <w:rPr>
          <w:color w:val="auto"/>
        </w:rPr>
        <w:t>2</w:t>
      </w:r>
      <w:r>
        <w:rPr>
          <w:rFonts w:hint="eastAsia"/>
          <w:color w:val="auto"/>
        </w:rPr>
        <w:t>°，灯具安装高度</w:t>
      </w:r>
      <w:r>
        <w:rPr>
          <w:color w:val="auto"/>
        </w:rPr>
        <w:t>12</w:t>
      </w:r>
      <w:r>
        <w:rPr>
          <w:rFonts w:hint="eastAsia"/>
          <w:color w:val="auto"/>
        </w:rPr>
        <w:t>米，人行道侧灯臂长1米，配60</w:t>
      </w:r>
      <w:r>
        <w:rPr>
          <w:color w:val="auto"/>
        </w:rPr>
        <w:t>WLED</w:t>
      </w:r>
      <w:r>
        <w:rPr>
          <w:rFonts w:hint="eastAsia"/>
          <w:color w:val="auto"/>
        </w:rPr>
        <w:t>灯具，仰角5°，灯具安装高度6米。路灯灯杆高度</w:t>
      </w:r>
      <w:r>
        <w:rPr>
          <w:color w:val="auto"/>
        </w:rPr>
        <w:t>12</w:t>
      </w:r>
      <w:r>
        <w:rPr>
          <w:rFonts w:hint="eastAsia"/>
          <w:color w:val="auto"/>
        </w:rPr>
        <w:t>米，间距30米左右布置。</w:t>
      </w:r>
    </w:p>
    <w:p w14:paraId="7068C85F">
      <w:pPr>
        <w:pStyle w:val="4"/>
        <w:ind w:firstLine="560"/>
      </w:pPr>
      <w:r>
        <w:rPr>
          <w:rFonts w:hint="eastAsia"/>
        </w:rPr>
        <w:t>道路曲线路段（</w:t>
      </w:r>
      <w:r>
        <w:t>R＜1000m）、交叉口及加宽段灯具布置适当缩短灯杆间距或增大灯具功率，</w:t>
      </w:r>
      <w:r>
        <w:rPr>
          <w:rFonts w:hint="eastAsia"/>
        </w:rPr>
        <w:t>以满足照度和均匀度要求。</w:t>
      </w:r>
    </w:p>
    <w:p w14:paraId="7EDBD2F4">
      <w:pPr>
        <w:pStyle w:val="3"/>
      </w:pPr>
      <w:bookmarkStart w:id="1" w:name="_Hlk38461247"/>
      <w:r>
        <w:rPr>
          <w:rFonts w:hint="eastAsia"/>
        </w:rPr>
        <w:t>光源及灯具要求</w:t>
      </w:r>
    </w:p>
    <w:p w14:paraId="5238D0F4">
      <w:pPr>
        <w:pStyle w:val="4"/>
        <w:ind w:firstLine="560"/>
      </w:pPr>
      <w:bookmarkStart w:id="2" w:name="_Hlk38467940"/>
      <w:r>
        <w:rPr>
          <w:rFonts w:hint="eastAsia"/>
        </w:rPr>
        <w:t>本工程次干路和支路选用中配光L</w:t>
      </w:r>
      <w:r>
        <w:t>ED</w:t>
      </w:r>
      <w:r>
        <w:rPr>
          <w:rFonts w:hint="eastAsia"/>
        </w:rPr>
        <w:t>光源，采用分体式LED灯具。</w:t>
      </w:r>
    </w:p>
    <w:p w14:paraId="68B4F349">
      <w:pPr>
        <w:pStyle w:val="4"/>
        <w:ind w:firstLine="560"/>
      </w:pPr>
      <w:r>
        <w:rPr>
          <w:rFonts w:hint="eastAsia"/>
        </w:rPr>
        <w:t>LED光源显色指数Ra≥70，光源光效大于120lm/W，整灯光效≥10</w:t>
      </w:r>
      <w:r>
        <w:t>5</w:t>
      </w:r>
      <w:r>
        <w:rPr>
          <w:rFonts w:hint="eastAsia"/>
        </w:rPr>
        <w:t>lm</w:t>
      </w:r>
      <w:r>
        <w:t>/W</w:t>
      </w:r>
      <w:r>
        <w:rPr>
          <w:rFonts w:hint="eastAsia"/>
        </w:rPr>
        <w:t>，自然功率因数大于0.95，色温为2700-3500</w:t>
      </w:r>
      <w:r>
        <w:t>K</w:t>
      </w:r>
      <w:r>
        <w:rPr>
          <w:rFonts w:hint="eastAsia"/>
        </w:rPr>
        <w:t>，使用寿命大于50000小时，灯具效率要求不低于88%。LED路灯在燃点至3000h时的光通量维持率应大于96%，燃点至6000h时的光通量维持率应大于92%。</w:t>
      </w:r>
    </w:p>
    <w:p w14:paraId="00E61EC6">
      <w:pPr>
        <w:pStyle w:val="4"/>
        <w:ind w:firstLine="560"/>
      </w:pPr>
      <w:r>
        <w:rPr>
          <w:rFonts w:hint="eastAsia"/>
        </w:rPr>
        <w:t>灯具要求采用重量轻、强度高的产品，</w:t>
      </w:r>
      <w:r>
        <w:t>灯具防护等级不应低于IP65，灯具电气腔的防护等级不应低于IP43。</w:t>
      </w:r>
      <w:r>
        <w:rPr>
          <w:rFonts w:hint="eastAsia"/>
        </w:rPr>
        <w:t>防触电等级Ⅰ级，外壳耐腐蚀性能Ⅱ类。</w:t>
      </w:r>
    </w:p>
    <w:p w14:paraId="173750F2">
      <w:pPr>
        <w:pStyle w:val="4"/>
        <w:ind w:firstLine="560"/>
      </w:pPr>
      <w:r>
        <w:rPr>
          <w:rFonts w:hint="eastAsia"/>
        </w:rPr>
        <w:t>每套LED灯具须配套电源模块，且须自带有短路保护和过负荷保护装置。</w:t>
      </w:r>
    </w:p>
    <w:p w14:paraId="4029248A">
      <w:pPr>
        <w:pStyle w:val="4"/>
        <w:ind w:firstLine="560"/>
      </w:pPr>
      <w:r>
        <w:rPr>
          <w:rFonts w:hint="eastAsia"/>
        </w:rPr>
        <w:t>灯具的无线电骚扰特性应符合国标</w:t>
      </w:r>
      <w:r>
        <w:t>GB17743的要求，灯具的谐波电流限值应符合国标GB17625.1的要求，灯具的电磁兼容抗扰度应符合国标GB/T18595的要求。</w:t>
      </w:r>
    </w:p>
    <w:bookmarkEnd w:id="2"/>
    <w:p w14:paraId="056B9233">
      <w:pPr>
        <w:pStyle w:val="3"/>
      </w:pPr>
      <w:r>
        <w:rPr>
          <w:rFonts w:hint="eastAsia"/>
        </w:rPr>
        <w:t>灯杆要求</w:t>
      </w:r>
    </w:p>
    <w:p w14:paraId="0AD4520C">
      <w:pPr>
        <w:pStyle w:val="4"/>
        <w:ind w:firstLine="560"/>
      </w:pPr>
      <w:r>
        <w:rPr>
          <w:rFonts w:hint="eastAsia"/>
        </w:rPr>
        <w:t>道路照明灯杆应设置使用工具开闭的闭锁防盗装置，采用国标优质Q235B钢材，整体内外热镀锌并喷塑，热镀锌层厚度不低于70μm，外喷GB/T18922的1374号色哑光漆，灯杆壁厚不小于4.5mm。灯杆长度13米及以下的锥形杆应无横向焊缝，纵向焊缝应匀称、无虚焊，锥度比12:1000。灯杆下部设接线孔。</w:t>
      </w:r>
    </w:p>
    <w:p w14:paraId="0E5C4D96">
      <w:pPr>
        <w:pStyle w:val="4"/>
        <w:ind w:firstLine="560"/>
      </w:pPr>
      <w:r>
        <w:rPr>
          <w:rFonts w:hint="eastAsia"/>
        </w:rPr>
        <w:t>若业主采用特殊造型灯杆，则另行规定相关灯杆要求。</w:t>
      </w:r>
    </w:p>
    <w:p w14:paraId="061921F4">
      <w:pPr>
        <w:pStyle w:val="3"/>
      </w:pPr>
      <w:r>
        <w:rPr>
          <w:rFonts w:hint="eastAsia"/>
        </w:rPr>
        <w:t>照明控制模式及技术要求</w:t>
      </w:r>
    </w:p>
    <w:p w14:paraId="0D38326F">
      <w:pPr>
        <w:pStyle w:val="46"/>
        <w:numPr>
          <w:ilvl w:val="0"/>
          <w:numId w:val="6"/>
        </w:numPr>
      </w:pPr>
      <w:r>
        <w:rPr>
          <w:rFonts w:hint="eastAsia"/>
        </w:rPr>
        <w:t>路灯的开启由四遥远程控制系统控制，四遥控制系统提供手控+时控+经纬度控制方式，同时需能接入当地城市路灯管理处控制后台。1·</w:t>
      </w:r>
    </w:p>
    <w:p w14:paraId="3FF386EB">
      <w:pPr>
        <w:pStyle w:val="4"/>
        <w:ind w:firstLine="560"/>
      </w:pPr>
      <w:r>
        <w:rPr>
          <w:rFonts w:hint="eastAsia"/>
        </w:rPr>
        <w:t>路灯的节能调光由智能照明系统控制，智能照明控制系统由路灯智能无线集中控制器和智能单灯终端控制器组成。</w:t>
      </w:r>
    </w:p>
    <w:p w14:paraId="7C8BC0DB">
      <w:pPr>
        <w:pStyle w:val="4"/>
        <w:ind w:firstLine="560"/>
      </w:pPr>
      <w:r>
        <w:rPr>
          <w:rFonts w:hint="eastAsia"/>
        </w:rPr>
        <w:t>智能照明控制系统</w:t>
      </w:r>
      <w:r>
        <w:t>有远程单灯控制、系统策略调控、防盗报警、远程参数监控、灯杆倾斜报警、漏电报警、历史数据查询等功能。</w:t>
      </w:r>
    </w:p>
    <w:p w14:paraId="18728972">
      <w:pPr>
        <w:pStyle w:val="46"/>
      </w:pPr>
      <w:r>
        <w:t>采用的LED灯具备可调光功能，调光设备集成在LED</w:t>
      </w:r>
      <w:r>
        <w:rPr>
          <w:rFonts w:hint="eastAsia"/>
        </w:rPr>
        <w:t>灯具中</w:t>
      </w:r>
      <w:r>
        <w:t>，根据当地实际情况设置多个时控段，降低夜间灯具亮度，要求控制器具有100%、70%和50%三档调光，根据时段进行调光，以实现不同车流量和人流量的不同照度要求，达到节能的目的。</w:t>
      </w:r>
    </w:p>
    <w:p w14:paraId="7D0FA5DD">
      <w:pPr>
        <w:pStyle w:val="46"/>
      </w:pPr>
      <w:r>
        <w:t>道路照明开灯和关灯时的天然光照度水平，</w:t>
      </w:r>
      <w:r>
        <w:rPr>
          <w:rFonts w:hint="eastAsia"/>
        </w:rPr>
        <w:t>主干路、</w:t>
      </w:r>
      <w:r>
        <w:t>次干路宜为30lx</w:t>
      </w:r>
      <w:r>
        <w:rPr>
          <w:rFonts w:hint="eastAsia"/>
        </w:rPr>
        <w:t>，支路宜为</w:t>
      </w:r>
      <w:r>
        <w:t>20</w:t>
      </w:r>
      <w:r>
        <w:rPr>
          <w:rFonts w:hint="eastAsia"/>
        </w:rPr>
        <w:t>lx。</w:t>
      </w:r>
      <w:bookmarkEnd w:id="1"/>
      <w:r>
        <w:t>下半夜调光后</w:t>
      </w:r>
      <w:r>
        <w:rPr>
          <w:rFonts w:hint="eastAsia"/>
        </w:rPr>
        <w:t>主干路、</w:t>
      </w:r>
      <w:r>
        <w:t>次干路平均照度不低于10Lx</w:t>
      </w:r>
      <w:r>
        <w:rPr>
          <w:rFonts w:hint="eastAsia"/>
        </w:rPr>
        <w:t>；下半夜调光后支路平均照度不低于8</w:t>
      </w:r>
      <w:r>
        <w:t>L</w:t>
      </w:r>
      <w:r>
        <w:rPr>
          <w:rFonts w:hint="eastAsia"/>
        </w:rPr>
        <w:t>x。</w:t>
      </w:r>
    </w:p>
    <w:p w14:paraId="5C5B0C1D">
      <w:pPr>
        <w:pStyle w:val="2"/>
      </w:pPr>
      <w:r>
        <w:rPr>
          <w:rFonts w:hint="eastAsia"/>
        </w:rPr>
        <w:t>照明线缆及敷设</w:t>
      </w:r>
    </w:p>
    <w:p w14:paraId="2BECA60E">
      <w:pPr>
        <w:pStyle w:val="3"/>
      </w:pPr>
      <w:r>
        <w:rPr>
          <w:rFonts w:hint="eastAsia"/>
        </w:rPr>
        <w:t>照明线缆</w:t>
      </w:r>
    </w:p>
    <w:p w14:paraId="30AB21AE">
      <w:pPr>
        <w:pStyle w:val="46"/>
        <w:numPr>
          <w:ilvl w:val="0"/>
          <w:numId w:val="7"/>
        </w:numPr>
      </w:pPr>
      <w:r>
        <w:rPr>
          <w:rFonts w:hint="eastAsia"/>
        </w:rPr>
        <w:t>道路照明供电干线采用YJV-0.6/1kV的交联聚乙烯绝缘铜芯电力电缆，引上至灯杆顶部灯具的分支线采用</w:t>
      </w:r>
      <w:r>
        <w:t>BVV</w:t>
      </w:r>
      <w:r>
        <w:rPr>
          <w:rFonts w:hint="eastAsia"/>
        </w:rPr>
        <w:t>-3×2.5的绝缘护套导线，灯具的分支线与照明干线的接线方式采用电缆绝缘穿刺线夹的分线方式。为平衡三相负荷，灯具接线采用L1、L2、L3、L1、L2、L3三相跳接顺序。</w:t>
      </w:r>
    </w:p>
    <w:p w14:paraId="3037EBB3">
      <w:pPr>
        <w:pStyle w:val="46"/>
      </w:pPr>
      <w:r>
        <w:rPr>
          <w:rFonts w:hint="eastAsia"/>
        </w:rPr>
        <w:t>三头泛光灯引上</w:t>
      </w:r>
      <w:r>
        <w:t>L1</w:t>
      </w:r>
      <w:r>
        <w:rPr>
          <w:rFonts w:hint="eastAsia"/>
        </w:rPr>
        <w:t>、L</w:t>
      </w:r>
      <w:r>
        <w:t>2</w:t>
      </w:r>
      <w:r>
        <w:rPr>
          <w:rFonts w:hint="eastAsia"/>
        </w:rPr>
        <w:t>、L</w:t>
      </w:r>
      <w:r>
        <w:t>3</w:t>
      </w:r>
      <w:r>
        <w:rPr>
          <w:rFonts w:hint="eastAsia"/>
        </w:rPr>
        <w:t>三相电源，每个灯头各接一相，以保证三相负荷平衡。</w:t>
      </w:r>
    </w:p>
    <w:p w14:paraId="6C5A038C">
      <w:pPr>
        <w:pStyle w:val="46"/>
      </w:pPr>
      <w:r>
        <w:rPr>
          <w:rFonts w:hint="eastAsia"/>
        </w:rPr>
        <w:t>接线完成后应该做好绝缘及防护处理，为了防止电缆接头受损、受潮和氧化，所有的电缆接头处均采用热缩护套处理，保证分支配电安全。</w:t>
      </w:r>
    </w:p>
    <w:p w14:paraId="544703AD">
      <w:pPr>
        <w:pStyle w:val="46"/>
      </w:pPr>
      <w:r>
        <w:rPr>
          <w:rFonts w:hint="eastAsia"/>
        </w:rPr>
        <w:t>在每一个接线井内的电缆应留有0.5m长的余量。</w:t>
      </w:r>
    </w:p>
    <w:p w14:paraId="4364DA64">
      <w:pPr>
        <w:pStyle w:val="3"/>
      </w:pPr>
      <w:r>
        <w:rPr>
          <w:rFonts w:hint="eastAsia"/>
        </w:rPr>
        <w:t>照明管道及照明手孔井</w:t>
      </w:r>
    </w:p>
    <w:p w14:paraId="0F1B004E">
      <w:pPr>
        <w:pStyle w:val="46"/>
        <w:numPr>
          <w:ilvl w:val="0"/>
          <w:numId w:val="8"/>
        </w:numPr>
      </w:pPr>
      <w:r>
        <w:rPr>
          <w:rFonts w:hint="eastAsia"/>
        </w:rPr>
        <w:t>照明管道在人行道下采用</w:t>
      </w:r>
      <w:r>
        <w:t>PVC</w:t>
      </w:r>
      <w:r>
        <w:rPr>
          <w:rFonts w:ascii="MS Mincho" w:hAnsi="MS Mincho" w:eastAsia="MS Mincho" w:cs="MS Mincho"/>
        </w:rPr>
        <w:t>∅</w:t>
      </w:r>
      <w:r>
        <w:t>110双壁波纹管管埋地暗敷，沿灯杆内侧敷设，在车行道下采用非磁性、环保、内壁光滑的BWFRP(纤维编绕拉挤)玻璃钢电力保护管BWFRP-100/3玻璃钢电力护套管埋地暗敷。照明管道在人行道下埋深不应小于0.5m，在绿地和车行道下埋深不应小于0.7m。</w:t>
      </w:r>
    </w:p>
    <w:p w14:paraId="19E758E0">
      <w:pPr>
        <w:pStyle w:val="46"/>
        <w:numPr>
          <w:ilvl w:val="0"/>
          <w:numId w:val="8"/>
        </w:numPr>
      </w:pPr>
      <w:r>
        <w:rPr>
          <w:rFonts w:hint="eastAsia"/>
        </w:rPr>
        <w:t>在每处灯杆旁均设置一个分线检查井，在照明管道过街处，其两端均设置检查井。仅有两个电缆通道方向且管道位于人行道和绿化带内的检查井采用</w:t>
      </w:r>
      <w:r>
        <w:t>500x500型，其余采用700x700型。</w:t>
      </w:r>
    </w:p>
    <w:p w14:paraId="5B49471D">
      <w:pPr>
        <w:pStyle w:val="46"/>
        <w:numPr>
          <w:ilvl w:val="0"/>
          <w:numId w:val="8"/>
        </w:numPr>
      </w:pPr>
      <w:r>
        <w:rPr>
          <w:rFonts w:hint="eastAsia"/>
        </w:rPr>
        <w:t>检查井平面位置以“道路照明平面图”和路灯基础与波纹管手孔井平面关系图进行确定，“道路照明平面图”中不再标注</w:t>
      </w:r>
      <w:r>
        <w:t>(在无灯杆有管线段间距30m和交叉点可根据现场情况设置一座手孔井便于穿线和维护)。</w:t>
      </w:r>
    </w:p>
    <w:p w14:paraId="253A1727">
      <w:pPr>
        <w:pStyle w:val="46"/>
        <w:numPr>
          <w:ilvl w:val="0"/>
          <w:numId w:val="8"/>
        </w:numPr>
      </w:pPr>
      <w:r>
        <w:rPr>
          <w:rFonts w:hint="eastAsia"/>
        </w:rPr>
        <w:t>路灯检查井用</w:t>
      </w:r>
      <w:r>
        <w:t>UPVC75的塑料管接入附近的雨水系统，局部地段因条件限制手孔井排水管无法接入雨水系统的，且井周围无地下水渗出的情况，则通设置渗水孔解决手孔井排水问题，尺寸为100mm×100mm，渗水孔采用细沙填充。</w:t>
      </w:r>
    </w:p>
    <w:p w14:paraId="4096F10F">
      <w:pPr>
        <w:pStyle w:val="46"/>
        <w:numPr>
          <w:ilvl w:val="0"/>
          <w:numId w:val="8"/>
        </w:numPr>
      </w:pPr>
      <w:r>
        <w:rPr>
          <w:rFonts w:hint="eastAsia"/>
        </w:rPr>
        <w:t>本工程路灯除考虑路灯用外，适当预留了广告和景观照明的管道，即在标准路段人行道通长敷设管孔为</w:t>
      </w:r>
      <w:r>
        <w:t>4孔，路灯用1孔，预留景观1孔，广告及城市监控2孔。以备广告和景观照明穿线用。</w:t>
      </w:r>
    </w:p>
    <w:p w14:paraId="79AAA7A2">
      <w:pPr>
        <w:pStyle w:val="46"/>
        <w:numPr>
          <w:ilvl w:val="0"/>
          <w:numId w:val="8"/>
        </w:numPr>
      </w:pPr>
      <w:r>
        <w:rPr>
          <w:rFonts w:hint="eastAsia"/>
        </w:rPr>
        <w:t>在路灯管线中预留</w:t>
      </w:r>
      <w:r>
        <w:t>8#铁丝，便于后期穿线。</w:t>
      </w:r>
    </w:p>
    <w:p w14:paraId="22EDF43B">
      <w:pPr>
        <w:pStyle w:val="2"/>
      </w:pPr>
      <w:r>
        <w:rPr>
          <w:rFonts w:hint="eastAsia"/>
        </w:rPr>
        <w:t>节能措施</w:t>
      </w:r>
    </w:p>
    <w:p w14:paraId="1DBF3102">
      <w:pPr>
        <w:pStyle w:val="46"/>
        <w:numPr>
          <w:ilvl w:val="0"/>
          <w:numId w:val="9"/>
        </w:numPr>
      </w:pPr>
      <w:r>
        <w:rPr>
          <w:rFonts w:hint="eastAsia"/>
        </w:rPr>
        <w:t>路灯专用配电变压器设计选用节能型非晶合金干式变压器，空载损耗比传统材料降低</w:t>
      </w:r>
      <w:r>
        <w:t>70%，变压器选用应符合现行国家标准《三相配电变压器能效限定值及能效等级》GB 20052规定的节能产品。</w:t>
      </w:r>
      <w:r>
        <w:rPr>
          <w:rFonts w:hint="eastAsia"/>
        </w:rPr>
        <w:t>箱变处进行集中无功自动补偿，提高系统功率因数。</w:t>
      </w:r>
    </w:p>
    <w:p w14:paraId="4AC7EEB2">
      <w:pPr>
        <w:pStyle w:val="46"/>
      </w:pPr>
      <w:r>
        <w:rPr>
          <w:rFonts w:hint="eastAsia"/>
        </w:rPr>
        <w:t>照明光源采用光效高、寿命长、功耗低、环保的LED照明光源。</w:t>
      </w:r>
    </w:p>
    <w:p w14:paraId="731CFBC0">
      <w:pPr>
        <w:pStyle w:val="46"/>
      </w:pPr>
      <w:r>
        <w:rPr>
          <w:rFonts w:hint="eastAsia"/>
        </w:rPr>
        <w:t>LED灯具功率因数高，不需设置补偿电容器，无功损耗小。</w:t>
      </w:r>
    </w:p>
    <w:p w14:paraId="39F2F3D4">
      <w:pPr>
        <w:pStyle w:val="46"/>
      </w:pPr>
      <w:r>
        <w:rPr>
          <w:rFonts w:hint="eastAsia"/>
        </w:rPr>
        <w:t>LED灯具显色性高，视觉效果好，启动快。</w:t>
      </w:r>
    </w:p>
    <w:p w14:paraId="3880E841">
      <w:pPr>
        <w:pStyle w:val="46"/>
      </w:pPr>
      <w:r>
        <w:rPr>
          <w:rFonts w:hint="eastAsia"/>
        </w:rPr>
        <w:t>道路照明灯具采用智能照明控制方式，所有灯具均可根据时钟和照度自动调节亮度，实现节能运行。</w:t>
      </w:r>
    </w:p>
    <w:p w14:paraId="445AD018">
      <w:pPr>
        <w:pStyle w:val="2"/>
      </w:pPr>
      <w:bookmarkStart w:id="3" w:name="_GoBack"/>
      <w:bookmarkEnd w:id="3"/>
      <w:r>
        <w:rPr>
          <w:rFonts w:hint="eastAsia"/>
        </w:rPr>
        <w:t>安全措施</w:t>
      </w:r>
    </w:p>
    <w:p w14:paraId="6AEDF152">
      <w:pPr>
        <w:pStyle w:val="3"/>
      </w:pPr>
      <w:r>
        <w:rPr>
          <w:rFonts w:hint="eastAsia"/>
        </w:rPr>
        <w:t>防雷及过电压保护</w:t>
      </w:r>
    </w:p>
    <w:p w14:paraId="454FD75E">
      <w:pPr>
        <w:pStyle w:val="46"/>
        <w:numPr>
          <w:ilvl w:val="0"/>
          <w:numId w:val="10"/>
        </w:numPr>
      </w:pPr>
      <w:r>
        <w:t>本工程防雷和安全接地共用接地体，利用金属灯杆</w:t>
      </w:r>
      <w:r>
        <w:rPr>
          <w:rFonts w:hint="eastAsia"/>
        </w:rPr>
        <w:t>作为接闪器和引下线，与</w:t>
      </w:r>
      <w:r>
        <w:t>基础钢筋接地作可靠</w:t>
      </w:r>
      <w:r>
        <w:rPr>
          <w:rFonts w:hint="eastAsia"/>
        </w:rPr>
        <w:t>连接。箱变内10k</w:t>
      </w:r>
      <w:r>
        <w:t>V进线处设置组合式避雷器，低压进线总开关处设置电涌保护器，</w:t>
      </w:r>
      <w:r>
        <w:rPr>
          <w:rFonts w:hint="eastAsia"/>
        </w:rPr>
        <w:t>用于防雷保护，</w:t>
      </w:r>
      <w:r>
        <w:t>LED</w:t>
      </w:r>
      <w:r>
        <w:rPr>
          <w:rFonts w:hint="eastAsia"/>
        </w:rPr>
        <w:t>灯具电源模块内设置配套电涌保护器。</w:t>
      </w:r>
    </w:p>
    <w:p w14:paraId="2305FF4D">
      <w:pPr>
        <w:pStyle w:val="46"/>
      </w:pPr>
      <w:r>
        <w:t>15m及以上的灯杆和安装于桥梁上的灯杆均按三类构筑物设防，在每根灯杆顶部设置接闪针(杆)，接闪针(杆)可选用成品接闪针(杆)，也可采用</w:t>
      </w:r>
      <w:r>
        <w:rPr>
          <w:rFonts w:hint="eastAsia" w:ascii="MS Mincho" w:hAnsi="MS Mincho" w:eastAsia="MS Mincho" w:cs="MS Mincho"/>
        </w:rPr>
        <w:t>∅</w:t>
      </w:r>
      <w:r>
        <w:rPr>
          <w:rFonts w:hint="eastAsia" w:ascii="等线" w:hAnsi="等线" w:eastAsia="等线" w:cs="等线"/>
        </w:rPr>
        <w:t>≥</w:t>
      </w:r>
      <w:r>
        <w:t>25mm热镀锌圆钢接闪针(杆)与金属灯杆顶部可靠连接。并采用</w:t>
      </w:r>
      <w:r>
        <w:rPr>
          <w:rFonts w:hint="eastAsia" w:ascii="MS Mincho" w:hAnsi="MS Mincho" w:eastAsia="MS Mincho" w:cs="MS Mincho"/>
        </w:rPr>
        <w:t>∅</w:t>
      </w:r>
      <w:r>
        <w:rPr>
          <w:rFonts w:hint="eastAsia" w:ascii="等线" w:hAnsi="等线" w:eastAsia="等线" w:cs="等线"/>
        </w:rPr>
        <w:t>≥</w:t>
      </w:r>
      <w:r>
        <w:t>16mm热镀锌圆钢单独作引下线，下部与灯杆基础钢筋及接地极可靠连接，上部与和金属灯杆顶部分别独立可靠连接。接闪针(杆)可参照法详见图集《15D501》-P74、75。接闪针(杆)相关设计、制作、安装均由灯杆厂家完成，并与灯杆配套供货。</w:t>
      </w:r>
    </w:p>
    <w:p w14:paraId="381FF1C2">
      <w:pPr>
        <w:pStyle w:val="3"/>
      </w:pPr>
      <w:r>
        <w:rPr>
          <w:rFonts w:hint="eastAsia"/>
        </w:rPr>
        <w:t>接地</w:t>
      </w:r>
    </w:p>
    <w:p w14:paraId="3C8A6F93">
      <w:pPr>
        <w:pStyle w:val="46"/>
        <w:numPr>
          <w:ilvl w:val="0"/>
          <w:numId w:val="11"/>
        </w:numPr>
      </w:pPr>
      <w:r>
        <w:rPr>
          <w:rFonts w:hint="eastAsia"/>
        </w:rPr>
        <w:t>路灯配电采用T</w:t>
      </w:r>
      <w:r>
        <w:t>N</w:t>
      </w:r>
      <w:r>
        <w:rPr>
          <w:rFonts w:hint="eastAsia"/>
        </w:rPr>
        <w:t>-</w:t>
      </w:r>
      <w:r>
        <w:t>S</w:t>
      </w:r>
      <w:r>
        <w:rPr>
          <w:rFonts w:hint="eastAsia"/>
        </w:rPr>
        <w:t>保护系统。</w:t>
      </w:r>
    </w:p>
    <w:p w14:paraId="25E73AE9">
      <w:pPr>
        <w:pStyle w:val="46"/>
      </w:pPr>
      <w:r>
        <w:rPr>
          <w:rFonts w:hint="eastAsia"/>
        </w:rPr>
        <w:t>设置专用的</w:t>
      </w:r>
      <w:r>
        <w:t>PE</w:t>
      </w:r>
      <w:r>
        <w:rPr>
          <w:rFonts w:hint="eastAsia"/>
        </w:rPr>
        <w:t>接地线，为提高单相接地故障电流，满足熔断器灵敏度要求，P</w:t>
      </w:r>
      <w:r>
        <w:t>E</w:t>
      </w:r>
      <w:r>
        <w:rPr>
          <w:rFonts w:hint="eastAsia"/>
        </w:rPr>
        <w:t>线与相、零线同截面，且同管敷设。</w:t>
      </w:r>
    </w:p>
    <w:p w14:paraId="32CBD4B0">
      <w:pPr>
        <w:pStyle w:val="46"/>
      </w:pPr>
      <w:r>
        <w:rPr>
          <w:rFonts w:hint="eastAsia"/>
        </w:rPr>
        <w:t>为防止故障电压沿P</w:t>
      </w:r>
      <w:r>
        <w:t>E</w:t>
      </w:r>
      <w:r>
        <w:rPr>
          <w:rFonts w:hint="eastAsia"/>
        </w:rPr>
        <w:t>线串接，设置重复接地；沿照明管线外侧通常敷设一根-40x4热镀锌扁钢作为水平接地极，扁钢埋深不小于0.6米。采用</w:t>
      </w:r>
      <w:r>
        <w:rPr>
          <w:rFonts w:ascii="Calibri" w:hAnsi="Calibri" w:cs="Calibri"/>
        </w:rPr>
        <w:t>Ø</w:t>
      </w:r>
      <w:r>
        <w:t>10</w:t>
      </w:r>
      <w:r>
        <w:rPr>
          <w:rFonts w:hint="eastAsia"/>
        </w:rPr>
        <w:t>热镀锌圆钢将灯杆埋地螺栓与热镀锌扁钢可靠焊接。接地扁钢在干线线路首端、末端、分支点处设垂直接地极，接地极为两根长2.5米水平间距5米的L</w:t>
      </w:r>
      <w:r>
        <w:t>50×50热镀锌角钢，具体做法详国标图集</w:t>
      </w:r>
      <w:r>
        <w:rPr>
          <w:rFonts w:hint="eastAsia"/>
        </w:rPr>
        <w:t>《</w:t>
      </w:r>
      <w:r>
        <w:t>14D504</w:t>
      </w:r>
      <w:r>
        <w:rPr>
          <w:rFonts w:hint="eastAsia"/>
        </w:rPr>
        <w:t>》</w:t>
      </w:r>
      <w:r>
        <w:t>-P17。接地电阻要求不大于4欧。</w:t>
      </w:r>
      <w:r>
        <w:rPr>
          <w:rFonts w:hint="eastAsia"/>
        </w:rPr>
        <w:t>不满足要求时则采用降阻剂接地极进行施工，具体做法详国标图集《14</w:t>
      </w:r>
      <w:r>
        <w:t>D</w:t>
      </w:r>
      <w:r>
        <w:rPr>
          <w:rFonts w:hint="eastAsia"/>
        </w:rPr>
        <w:t>504》-</w:t>
      </w:r>
      <w:r>
        <w:t>P</w:t>
      </w:r>
      <w:r>
        <w:rPr>
          <w:rFonts w:hint="eastAsia"/>
        </w:rPr>
        <w:t>28、29。</w:t>
      </w:r>
    </w:p>
    <w:p w14:paraId="50AB27D2">
      <w:pPr>
        <w:pStyle w:val="46"/>
      </w:pPr>
      <w:r>
        <w:rPr>
          <w:rFonts w:hint="eastAsia"/>
        </w:rPr>
        <w:t>灯杆基础钢筋、热镀锌扁钢、灯杆、基座等金属体均应与P</w:t>
      </w:r>
      <w:r>
        <w:t>E</w:t>
      </w:r>
      <w:r>
        <w:rPr>
          <w:rFonts w:hint="eastAsia"/>
        </w:rPr>
        <w:t>线可靠连接。</w:t>
      </w:r>
    </w:p>
    <w:p w14:paraId="1B5C6266">
      <w:pPr>
        <w:pStyle w:val="46"/>
      </w:pPr>
      <w:r>
        <w:rPr>
          <w:rFonts w:hint="eastAsia"/>
        </w:rPr>
        <w:t>变压器接地装置采用热镀锌角钢接地极</w:t>
      </w:r>
      <w:r>
        <w:t>L50x50x5 L=2500，上端部埋深1m，水平间距5m，接地极连接热镀锌扁钢-50×5，热镀锌扁钢和热镀锌钢管接地极连接的作法详见图集《14D504》-P16，扁钢与钢管弧形焊接圆弧的半径不宜小于均压带半径的一半，实测接地电阻须不大于4欧。详设计大样图。</w:t>
      </w:r>
    </w:p>
    <w:p w14:paraId="5DFB05FA">
      <w:pPr>
        <w:pStyle w:val="46"/>
      </w:pPr>
      <w:r>
        <w:rPr>
          <w:rFonts w:hint="eastAsia"/>
        </w:rPr>
        <w:t>箱式变电站可开启的门应与接地的金属框架可靠连接，采用的裸铜软线截面不应小于</w:t>
      </w:r>
      <w:r>
        <w:t>4mm2。</w:t>
      </w:r>
    </w:p>
    <w:p w14:paraId="2A761D14">
      <w:pPr>
        <w:pStyle w:val="46"/>
      </w:pPr>
      <w:r>
        <w:rPr>
          <w:rFonts w:hint="eastAsia"/>
        </w:rPr>
        <w:t>电气装置的下列金属部分，均应与接地装置可靠连接。</w:t>
      </w:r>
    </w:p>
    <w:p w14:paraId="1046500D">
      <w:pPr>
        <w:pStyle w:val="4"/>
        <w:ind w:firstLine="560"/>
      </w:pPr>
      <w:r>
        <w:rPr>
          <w:rFonts w:hint="eastAsia"/>
        </w:rPr>
        <w:t>①.变压器的金属底座和外壳。</w:t>
      </w:r>
    </w:p>
    <w:p w14:paraId="7479B6A5">
      <w:pPr>
        <w:pStyle w:val="4"/>
        <w:ind w:firstLine="560"/>
      </w:pPr>
      <w:r>
        <w:rPr>
          <w:rFonts w:hint="eastAsia"/>
        </w:rPr>
        <w:t>②.配电装置的金属构架及靠近带电部位的金属遮拦等。</w:t>
      </w:r>
    </w:p>
    <w:p w14:paraId="7C60D36B">
      <w:pPr>
        <w:pStyle w:val="4"/>
        <w:ind w:firstLine="560"/>
      </w:pPr>
      <w:r>
        <w:rPr>
          <w:rFonts w:hint="eastAsia"/>
        </w:rPr>
        <w:t>③.电力电缆的金属接线盒和保护管。</w:t>
      </w:r>
    </w:p>
    <w:p w14:paraId="299BBD43">
      <w:pPr>
        <w:pStyle w:val="4"/>
        <w:ind w:firstLine="560"/>
      </w:pPr>
      <w:r>
        <w:rPr>
          <w:rFonts w:hint="eastAsia"/>
        </w:rPr>
        <w:t>④</w:t>
      </w:r>
      <w:r>
        <w:t>.</w:t>
      </w:r>
      <w:r>
        <w:rPr>
          <w:rFonts w:hint="eastAsia"/>
        </w:rPr>
        <w:t>路灯的金属灯杆、基座。</w:t>
      </w:r>
    </w:p>
    <w:p w14:paraId="56B883E3">
      <w:pPr>
        <w:pStyle w:val="4"/>
        <w:ind w:firstLine="560"/>
      </w:pPr>
      <w:r>
        <w:rPr>
          <w:rFonts w:hint="eastAsia"/>
        </w:rPr>
        <w:t>⑤.其他因绝缘破坏可能使其带电的外露导体。</w:t>
      </w:r>
    </w:p>
    <w:p w14:paraId="7FA87F6A">
      <w:pPr>
        <w:pStyle w:val="3"/>
      </w:pPr>
      <w:r>
        <w:rPr>
          <w:rFonts w:hint="eastAsia"/>
        </w:rPr>
        <w:t>末端短路保护</w:t>
      </w:r>
    </w:p>
    <w:p w14:paraId="7E2D118C">
      <w:pPr>
        <w:pStyle w:val="4"/>
        <w:ind w:firstLine="560"/>
      </w:pPr>
      <w:r>
        <w:rPr>
          <w:rFonts w:hint="eastAsia"/>
          <w:color w:val="0000FF"/>
          <w:lang w:val="en-US" w:eastAsia="zh-CN"/>
        </w:rPr>
        <w:t>每一灯具设置带隔离功能漏电保护开关对支线短路故障予以保护，安装于灯杆拉线孔内。200W以下光源配C65L-C4A/2P+VE30mA，200W及以上光源配C65L-C6A/2P+VE30mA，均为瞬动。</w:t>
      </w:r>
      <w:r>
        <w:t>在各照明出线回路设置合适的</w:t>
      </w:r>
      <w:r>
        <w:rPr>
          <w:rFonts w:hint="eastAsia"/>
        </w:rPr>
        <w:t>熔断器</w:t>
      </w:r>
      <w:r>
        <w:t>以实现干线末端短路电流的保护。</w:t>
      </w:r>
    </w:p>
    <w:p w14:paraId="2207146F">
      <w:pPr>
        <w:pStyle w:val="3"/>
      </w:pPr>
      <w:r>
        <w:rPr>
          <w:rFonts w:hint="eastAsia"/>
        </w:rPr>
        <w:t>其他安全措施</w:t>
      </w:r>
    </w:p>
    <w:p w14:paraId="04A7A172">
      <w:pPr>
        <w:pStyle w:val="46"/>
        <w:numPr>
          <w:ilvl w:val="0"/>
          <w:numId w:val="12"/>
        </w:numPr>
      </w:pPr>
      <w:r>
        <w:rPr>
          <w:rFonts w:hint="eastAsia"/>
        </w:rPr>
        <w:t>本工程所有非砼中钢质材料均需采用热镀锌产品，所有金属焊接部位均应进行防腐处理。</w:t>
      </w:r>
    </w:p>
    <w:p w14:paraId="2DE951F4">
      <w:pPr>
        <w:pStyle w:val="46"/>
      </w:pPr>
      <w:r>
        <w:rPr>
          <w:rFonts w:hint="eastAsia"/>
        </w:rPr>
        <w:t>灯杆施工时应避开高压线，保持净距，水平净距和垂直净距应满足《城市工程管线综合规划规范》GB50289-2016和《城市电力规划规范》GB52093-2014附录B和附录C规定。</w:t>
      </w:r>
    </w:p>
    <w:p w14:paraId="6AF9D8AD">
      <w:pPr>
        <w:pStyle w:val="46"/>
      </w:pPr>
      <w:r>
        <w:rPr>
          <w:rFonts w:hint="eastAsia"/>
        </w:rPr>
        <w:t>灯杆基础下法兰盘必须水平安装，校平控制在3‰以内。上下法兰盘连接采用双螺帽配平垫圈、弹垫圈固定。灯杆安装校正后，将螺栓打黄油后用塑料薄膜包扎，浇注在人行道铺贴垫层内。安装校验完成后地脚螺栓多余部分的应切除，固定螺帽顶外留10mm并打磨毛刺。</w:t>
      </w:r>
    </w:p>
    <w:p w14:paraId="0DFA594A">
      <w:pPr>
        <w:pStyle w:val="46"/>
      </w:pPr>
      <w:r>
        <w:rPr>
          <w:rFonts w:hint="eastAsia"/>
        </w:rPr>
        <w:t>灯具防护等级不应低于</w:t>
      </w:r>
      <w:r>
        <w:t>IP65，灯具电气腔的防护等级不应低于IP43。</w:t>
      </w:r>
    </w:p>
    <w:p w14:paraId="584029D9">
      <w:pPr>
        <w:pStyle w:val="46"/>
      </w:pPr>
      <w:r>
        <w:rPr>
          <w:rFonts w:hint="eastAsia"/>
        </w:rPr>
        <w:t>照明箱变防护等级不得低于IP44，并应有良好的通风条件。</w:t>
      </w:r>
    </w:p>
    <w:p w14:paraId="30924BFD">
      <w:pPr>
        <w:pStyle w:val="46"/>
      </w:pPr>
      <w:r>
        <w:rPr>
          <w:rFonts w:hint="eastAsia"/>
        </w:rPr>
        <w:t>照明箱变及配电柜不应设置于低洼易积水处，且</w:t>
      </w:r>
      <w:r>
        <w:t>基础</w:t>
      </w:r>
      <w:r>
        <w:rPr>
          <w:rFonts w:hint="eastAsia"/>
        </w:rPr>
        <w:t>应</w:t>
      </w:r>
      <w:r>
        <w:t>高出周围地面</w:t>
      </w:r>
      <w:r>
        <w:rPr>
          <w:rFonts w:hint="eastAsia"/>
        </w:rPr>
        <w:t>30公分。</w:t>
      </w:r>
    </w:p>
    <w:p w14:paraId="777A00CC">
      <w:pPr>
        <w:pStyle w:val="2"/>
      </w:pPr>
      <w:r>
        <w:t>灯杆、手孔井</w:t>
      </w:r>
      <w:r>
        <w:rPr>
          <w:rFonts w:hint="eastAsia"/>
        </w:rPr>
        <w:t>等</w:t>
      </w:r>
      <w:r>
        <w:t>施工</w:t>
      </w:r>
      <w:r>
        <w:rPr>
          <w:rFonts w:hint="eastAsia"/>
        </w:rPr>
        <w:t>要求</w:t>
      </w:r>
    </w:p>
    <w:p w14:paraId="1E7D94C9">
      <w:pPr>
        <w:pStyle w:val="46"/>
        <w:numPr>
          <w:ilvl w:val="0"/>
          <w:numId w:val="13"/>
        </w:numPr>
      </w:pPr>
      <w:r>
        <w:rPr>
          <w:rFonts w:hint="eastAsia"/>
        </w:rPr>
        <w:t>路灯管线均靠道路边缘安装，即基础内侧，在遇阻碍时,在不影响其它管线和功能使用时可根据现场情况适当调整。</w:t>
      </w:r>
    </w:p>
    <w:p w14:paraId="52C1B477">
      <w:pPr>
        <w:pStyle w:val="46"/>
      </w:pPr>
      <w:r>
        <w:rPr>
          <w:rFonts w:hint="eastAsia"/>
        </w:rPr>
        <w:t>路灯定位根据坐标或道路桩号，并结合设计间距实施定位，在遇阻碍时，可根据现场情况适当调整，调整范围不大于3m。</w:t>
      </w:r>
    </w:p>
    <w:p w14:paraId="6C352413">
      <w:pPr>
        <w:pStyle w:val="46"/>
      </w:pPr>
      <w:r>
        <w:rPr>
          <w:rFonts w:hint="eastAsia"/>
        </w:rPr>
        <w:t>灯杆施工时应该避开高压线，保持净距。水平净距和净高要求满足《城市工程管线综合规划规范》和《城市电力规划规范》相关要求。</w:t>
      </w:r>
    </w:p>
    <w:p w14:paraId="4DB5EDDA">
      <w:pPr>
        <w:pStyle w:val="46"/>
      </w:pPr>
      <w:r>
        <w:rPr>
          <w:rFonts w:hint="eastAsia"/>
        </w:rPr>
        <w:t>灯杆基础地基承载力大于180KPA，管道基础地基承载力大于</w:t>
      </w:r>
      <w:r>
        <w:t>150KPA</w:t>
      </w:r>
      <w:r>
        <w:rPr>
          <w:rFonts w:hint="eastAsia"/>
        </w:rPr>
        <w:t>，灯杆基础回填土密实度不小于95%，管道敷设回填土密实度不小于93%。车行道的管道沟槽回填材料采用水泥稳定级配碎石基础，回填采用人工打夯机夯实，水泥稳定层的水泥含量为4%。上部与路基基层相接，路基结构相关要求以道路要求为准。路面加固详见设计详道路设计图。</w:t>
      </w:r>
    </w:p>
    <w:p w14:paraId="5772B543">
      <w:pPr>
        <w:pStyle w:val="46"/>
      </w:pPr>
      <w:r>
        <w:t>路灯灯杆基础及手孔井必须设置于海锦城市的积水设施带断开处（即断开的绿化带或人行道上）。如有冲突的应调整海锦城市的积水设施带位置，如特殊情况不能调整位置的，积水设施带应在灯杆位置处断开，灯杆位置处2m范围填平提升至路缘石顶面高度，管道用防水混凝土通长包封。海锦城市的防渗透设施须绕开灯杆基础和手孔井处，保证基础稳定性和海锦城市的防渗透设施的防水性能，相关海锦城市的防渗透设施作法和要求详道路、海锦城市专篇和排水部分相关要求和内容进行施工。</w:t>
      </w:r>
    </w:p>
    <w:p w14:paraId="66A0A8D9">
      <w:pPr>
        <w:pStyle w:val="46"/>
      </w:pPr>
      <w:r>
        <w:rPr>
          <w:rFonts w:hint="eastAsia"/>
        </w:rPr>
        <w:t>无特殊情况，</w:t>
      </w:r>
      <w:r>
        <w:t>路灯手孔井井盖</w:t>
      </w:r>
      <w:r>
        <w:rPr>
          <w:rFonts w:hint="eastAsia"/>
        </w:rPr>
        <w:t>按照手孔井配套大样图实施。经业主同意，手孔井井盖亦可选用球墨铸铁井盖或成品复合材料或钢纤维增强混凝土型井盖。</w:t>
      </w:r>
    </w:p>
    <w:p w14:paraId="3C7A810C">
      <w:pPr>
        <w:pStyle w:val="46"/>
      </w:pPr>
      <w:r>
        <w:rPr>
          <w:rFonts w:hint="eastAsia"/>
        </w:rPr>
        <w:t>选用球墨铸铁井盖时，所有手孔井盖均选用重型井盖，承重等级D400，</w:t>
      </w:r>
      <w:r>
        <w:t>试验荷载≥400F/kN，井盖试验允许变形值应符合GB/G 23858-2009表7相关要求。要求井座底面支承压强≥7.5N/mm</w:t>
      </w:r>
      <w:r>
        <w:rPr>
          <w:vertAlign w:val="superscript"/>
        </w:rPr>
        <w:t>2</w:t>
      </w:r>
      <w:r>
        <w:t>。</w:t>
      </w:r>
    </w:p>
    <w:p w14:paraId="42B578A2">
      <w:pPr>
        <w:pStyle w:val="46"/>
      </w:pPr>
      <w:r>
        <w:t>选用成品复合材料或钢纤维增强混凝土型井盖时，</w:t>
      </w:r>
      <w:r>
        <w:rPr>
          <w:rFonts w:hint="eastAsia"/>
        </w:rPr>
        <w:t>当选用该类产品时</w:t>
      </w:r>
      <w:r>
        <w:t>应满足GB/T 23858-2009要求：复合材料井盖井座性能要求详见</w:t>
      </w:r>
      <w:r>
        <w:rPr>
          <w:rFonts w:hint="eastAsia"/>
        </w:rPr>
        <w:t>规范</w:t>
      </w:r>
      <w:r>
        <w:t>附录A，钢纤维增强混凝土型井盖井座性能要求详见</w:t>
      </w:r>
      <w:r>
        <w:rPr>
          <w:rFonts w:hint="eastAsia"/>
        </w:rPr>
        <w:t>规范</w:t>
      </w:r>
      <w:r>
        <w:t>附录B。</w:t>
      </w:r>
    </w:p>
    <w:p w14:paraId="46E1BF6F">
      <w:pPr>
        <w:pStyle w:val="46"/>
      </w:pPr>
      <w:r>
        <w:rPr>
          <w:rFonts w:hint="eastAsia"/>
        </w:rPr>
        <w:t>手孔井内层盖板上用砂石填充，以达到防盗要求。手孔井盖、及户外路灯箱变、配电柜设置需使用专用工具开启的闭锁防盗装置。灯杆检修门设置合页式防盗绞链，并配用专用钥匙。</w:t>
      </w:r>
    </w:p>
    <w:p w14:paraId="5D79E455">
      <w:pPr>
        <w:pStyle w:val="46"/>
      </w:pPr>
      <w:r>
        <w:rPr>
          <w:rFonts w:hint="eastAsia"/>
        </w:rPr>
        <w:t>过街的电力保护套管须满足《电缆用玻璃钢保护管》JCT988-2006和《电力电缆用导管 第２部分：玻璃纤维增强塑料电缆导管》DL/T802.2-2017相关质量控制要求，主要技术标准如下：拉伸强度≥200MPa、浸水后拉伸强度≥170MPa、巴氏硬度≥38、环刚度(5%)≥25KPa，并按相关要求提供测试和检验报告，取得相关产品检验合格报告和合格证方可入场使用。</w:t>
      </w:r>
    </w:p>
    <w:p w14:paraId="28397702">
      <w:pPr>
        <w:pStyle w:val="2"/>
      </w:pPr>
      <w:r>
        <w:rPr>
          <w:rFonts w:hint="eastAsia"/>
        </w:rPr>
        <w:t>其他</w:t>
      </w:r>
    </w:p>
    <w:p w14:paraId="3F97514E">
      <w:pPr>
        <w:pStyle w:val="46"/>
        <w:numPr>
          <w:ilvl w:val="0"/>
          <w:numId w:val="14"/>
        </w:numPr>
      </w:pPr>
      <w:r>
        <w:rPr>
          <w:rFonts w:hint="eastAsia"/>
        </w:rPr>
        <w:t>本设计中对照明灯具及灯杆提出高度、臂长、灯具功率、仰角等相关技术指标，具体造型由业主单位决定，设计单位配合提供资料。</w:t>
      </w:r>
    </w:p>
    <w:p w14:paraId="2B17056A">
      <w:pPr>
        <w:pStyle w:val="46"/>
      </w:pPr>
      <w:r>
        <w:rPr>
          <w:rFonts w:hint="eastAsia"/>
        </w:rPr>
        <w:t>设计选型的材料和元件规格型号仅供参考，不作为订货依据，需满足性能、规格和参数，并符合国家相关产品认证和合格产品即可，本设计不指定品牌和厂家。</w:t>
      </w:r>
    </w:p>
    <w:p w14:paraId="2D377273">
      <w:pPr>
        <w:pStyle w:val="46"/>
      </w:pPr>
      <w:r>
        <w:rPr>
          <w:rFonts w:hint="eastAsia"/>
        </w:rPr>
        <w:t>路灯工程其安装及验收应符合《城市道路照明工程施工及验收规程》规定，各分项、子项工程均按规范进行验收。</w:t>
      </w:r>
    </w:p>
    <w:p w14:paraId="432E6F6F">
      <w:pPr>
        <w:pStyle w:val="46"/>
      </w:pPr>
      <w:r>
        <w:rPr>
          <w:rFonts w:hint="eastAsia"/>
        </w:rPr>
        <w:t>本工程所有结构受力钢筋设计除特殊说明外，钢筋直径≥12mm则采用HRB400热扎螺纹钢筋，钢筋直径＜12mm则采用HPB300热扎圆钢筋。HPB300钢筋其抗拉、压设计强度值为270N/mm</w:t>
      </w:r>
      <w:r>
        <w:rPr>
          <w:rFonts w:hint="eastAsia"/>
          <w:vertAlign w:val="superscript"/>
        </w:rPr>
        <w:t>2</w:t>
      </w:r>
      <w:r>
        <w:rPr>
          <w:rFonts w:hint="eastAsia"/>
        </w:rPr>
        <w:t>，HRB400级钢筋其抗拉、压设计强度值为360N/mm</w:t>
      </w:r>
      <w:r>
        <w:rPr>
          <w:rFonts w:hint="eastAsia"/>
          <w:vertAlign w:val="superscript"/>
        </w:rPr>
        <w:t>2</w:t>
      </w:r>
      <w:r>
        <w:rPr>
          <w:rFonts w:hint="eastAsia"/>
        </w:rPr>
        <w:t>。普通钢筋应分别采用符合《钢筋混凝土用热轧光圆钢筋》GB1499.1-2008和《钢筋混凝土用热轧带肋钢筋》GB1499.2-2007规定的HPB300、HRB400钢筋，本工程所有非砼中钢材质材料均需采用热镀锌防腐处理的产品。</w:t>
      </w:r>
    </w:p>
    <w:p w14:paraId="6775BE01">
      <w:pPr>
        <w:pStyle w:val="46"/>
      </w:pPr>
      <w:r>
        <w:rPr>
          <w:rFonts w:hint="eastAsia"/>
        </w:rPr>
        <w:t>其余未尽事宜按国家现行规定、标准和规范执行，施工中若有问题应及时反馈设计单位。</w:t>
      </w:r>
    </w:p>
    <w:sectPr>
      <w:type w:val="continuous"/>
      <w:pgSz w:w="23811" w:h="16838" w:orient="landscape"/>
      <w:pgMar w:top="1440" w:right="1800" w:bottom="1440" w:left="1800" w:header="851" w:footer="992" w:gutter="0"/>
      <w:cols w:space="425" w:num="2"/>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871AF8"/>
    <w:multiLevelType w:val="multilevel"/>
    <w:tmpl w:val="45871AF8"/>
    <w:lvl w:ilvl="0" w:tentative="0">
      <w:start w:val="1"/>
      <w:numFmt w:val="decimal"/>
      <w:pStyle w:val="46"/>
      <w:suff w:val="nothing"/>
      <w:lvlText w:val="（%1）"/>
      <w:lvlJc w:val="left"/>
      <w:pPr>
        <w:ind w:left="0" w:firstLine="403"/>
      </w:pPr>
      <w:rPr>
        <w:rFonts w:hint="default" w:ascii="Times New Roman" w:hAnsi="Times New Roman" w:eastAsia="仿宋_GB2312"/>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E9506E"/>
    <w:multiLevelType w:val="multilevel"/>
    <w:tmpl w:val="4CE9506E"/>
    <w:lvl w:ilvl="0" w:tentative="0">
      <w:start w:val="1"/>
      <w:numFmt w:val="decimal"/>
      <w:pStyle w:val="25"/>
      <w:suff w:val="nothing"/>
      <w:lvlText w:val="（%1）"/>
      <w:lvlJc w:val="left"/>
      <w:pPr>
        <w:ind w:left="820" w:hanging="420"/>
      </w:pPr>
      <w:rPr>
        <w:rFonts w:hint="eastAsia" w:ascii="仿宋_GB2312" w:eastAsia="仿宋_GB2312"/>
        <w:sz w:val="28"/>
      </w:rPr>
    </w:lvl>
    <w:lvl w:ilvl="1" w:tentative="0">
      <w:start w:val="1"/>
      <w:numFmt w:val="decimalEnclosedCircle"/>
      <w:lvlText w:val="%2"/>
      <w:lvlJc w:val="left"/>
      <w:pPr>
        <w:ind w:left="1180" w:hanging="360"/>
      </w:pPr>
      <w:rPr>
        <w:rFonts w:hint="default"/>
      </w:r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2">
    <w:nsid w:val="764E5E4A"/>
    <w:multiLevelType w:val="multilevel"/>
    <w:tmpl w:val="764E5E4A"/>
    <w:lvl w:ilvl="0" w:tentative="0">
      <w:start w:val="1"/>
      <w:numFmt w:val="decimal"/>
      <w:pStyle w:val="2"/>
      <w:suff w:val="nothing"/>
      <w:lvlText w:val="%1."/>
      <w:lvlJc w:val="left"/>
      <w:pPr>
        <w:ind w:left="420" w:hanging="420"/>
      </w:pPr>
      <w:rPr>
        <w:rFonts w:hint="default" w:ascii="Times New Roman" w:hAnsi="Times New Roman" w:eastAsia="仿宋_GB2312"/>
        <w:b w:val="0"/>
        <w:i w:val="0"/>
        <w:spacing w:val="0"/>
        <w:w w:val="100"/>
        <w:position w:val="0"/>
        <w:sz w:val="32"/>
      </w:rPr>
    </w:lvl>
    <w:lvl w:ilvl="1" w:tentative="0">
      <w:start w:val="1"/>
      <w:numFmt w:val="decimal"/>
      <w:pStyle w:val="3"/>
      <w:suff w:val="nothing"/>
      <w:lvlText w:val="%1.%2."/>
      <w:lvlJc w:val="left"/>
      <w:pPr>
        <w:ind w:left="0" w:firstLine="0"/>
      </w:pPr>
      <w:rPr>
        <w:rFonts w:hint="default" w:ascii="Times New Roman" w:hAnsi="Times New Roman" w:eastAsia="仿宋_GB2312"/>
        <w:b w:val="0"/>
        <w:i w:val="0"/>
        <w:sz w:val="30"/>
      </w:rPr>
    </w:lvl>
    <w:lvl w:ilvl="2" w:tentative="0">
      <w:start w:val="1"/>
      <w:numFmt w:val="decimal"/>
      <w:pStyle w:val="5"/>
      <w:suff w:val="nothing"/>
      <w:lvlText w:val="%1.%2.%3."/>
      <w:lvlJc w:val="left"/>
      <w:pPr>
        <w:ind w:left="0" w:firstLine="0"/>
      </w:pPr>
      <w:rPr>
        <w:rFonts w:hint="default" w:ascii="Times New Roman" w:hAnsi="Times New Roman" w:eastAsia="仿宋_GB2312"/>
        <w:b w:val="0"/>
        <w:i w:val="0"/>
        <w:sz w:val="30"/>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
  </w:num>
  <w:num w:numId="2">
    <w:abstractNumId w:val="1"/>
  </w:num>
  <w:num w:numId="3">
    <w:abstractNumId w:val="0"/>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dit="forms" w:enforcement="0"/>
  <w:defaultTabStop w:val="28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FE"/>
    <w:rsid w:val="00034F48"/>
    <w:rsid w:val="000404AF"/>
    <w:rsid w:val="00053801"/>
    <w:rsid w:val="00071E03"/>
    <w:rsid w:val="000736C8"/>
    <w:rsid w:val="00097743"/>
    <w:rsid w:val="000A7646"/>
    <w:rsid w:val="000B5A01"/>
    <w:rsid w:val="000E0FE1"/>
    <w:rsid w:val="0011009C"/>
    <w:rsid w:val="00117094"/>
    <w:rsid w:val="00117F4D"/>
    <w:rsid w:val="00123169"/>
    <w:rsid w:val="001326A2"/>
    <w:rsid w:val="00133A73"/>
    <w:rsid w:val="0013445F"/>
    <w:rsid w:val="001409F7"/>
    <w:rsid w:val="001466E2"/>
    <w:rsid w:val="00156920"/>
    <w:rsid w:val="001817B5"/>
    <w:rsid w:val="001A1BCF"/>
    <w:rsid w:val="001A410E"/>
    <w:rsid w:val="001C2B55"/>
    <w:rsid w:val="001F7B6B"/>
    <w:rsid w:val="00221753"/>
    <w:rsid w:val="00221E35"/>
    <w:rsid w:val="00233D9A"/>
    <w:rsid w:val="00234E42"/>
    <w:rsid w:val="00237B59"/>
    <w:rsid w:val="002406E3"/>
    <w:rsid w:val="0024235C"/>
    <w:rsid w:val="00243D4F"/>
    <w:rsid w:val="00245053"/>
    <w:rsid w:val="00262A4E"/>
    <w:rsid w:val="002633AF"/>
    <w:rsid w:val="002744AE"/>
    <w:rsid w:val="002839CE"/>
    <w:rsid w:val="002B2363"/>
    <w:rsid w:val="002B7900"/>
    <w:rsid w:val="002C09FD"/>
    <w:rsid w:val="002C507D"/>
    <w:rsid w:val="002D1402"/>
    <w:rsid w:val="002E7A6D"/>
    <w:rsid w:val="00314A90"/>
    <w:rsid w:val="003210F9"/>
    <w:rsid w:val="003239F0"/>
    <w:rsid w:val="003350A6"/>
    <w:rsid w:val="00361E5D"/>
    <w:rsid w:val="00384128"/>
    <w:rsid w:val="00390CA7"/>
    <w:rsid w:val="00393883"/>
    <w:rsid w:val="003A71BE"/>
    <w:rsid w:val="003B4749"/>
    <w:rsid w:val="003D5B35"/>
    <w:rsid w:val="003D7173"/>
    <w:rsid w:val="003E654B"/>
    <w:rsid w:val="00404F83"/>
    <w:rsid w:val="00406FE8"/>
    <w:rsid w:val="004224A1"/>
    <w:rsid w:val="004276F3"/>
    <w:rsid w:val="0046524B"/>
    <w:rsid w:val="00467BAF"/>
    <w:rsid w:val="00470CB1"/>
    <w:rsid w:val="00473444"/>
    <w:rsid w:val="004856D1"/>
    <w:rsid w:val="00487590"/>
    <w:rsid w:val="00492C43"/>
    <w:rsid w:val="004A4C71"/>
    <w:rsid w:val="004B03EB"/>
    <w:rsid w:val="004C10E7"/>
    <w:rsid w:val="004C797E"/>
    <w:rsid w:val="004D4B35"/>
    <w:rsid w:val="004F7B32"/>
    <w:rsid w:val="00500474"/>
    <w:rsid w:val="00526737"/>
    <w:rsid w:val="00551EFD"/>
    <w:rsid w:val="00583D53"/>
    <w:rsid w:val="0059003F"/>
    <w:rsid w:val="005A3DCA"/>
    <w:rsid w:val="005B71CD"/>
    <w:rsid w:val="005C5D0F"/>
    <w:rsid w:val="005D2C9A"/>
    <w:rsid w:val="005D4DF1"/>
    <w:rsid w:val="005F145E"/>
    <w:rsid w:val="00604D1A"/>
    <w:rsid w:val="00623D47"/>
    <w:rsid w:val="00631E78"/>
    <w:rsid w:val="0066173D"/>
    <w:rsid w:val="00667695"/>
    <w:rsid w:val="0067776C"/>
    <w:rsid w:val="00686C7A"/>
    <w:rsid w:val="00692A98"/>
    <w:rsid w:val="00696609"/>
    <w:rsid w:val="006D1627"/>
    <w:rsid w:val="006E6720"/>
    <w:rsid w:val="006F6C68"/>
    <w:rsid w:val="00702CAA"/>
    <w:rsid w:val="00733C23"/>
    <w:rsid w:val="00735FA5"/>
    <w:rsid w:val="00740854"/>
    <w:rsid w:val="00743667"/>
    <w:rsid w:val="00745FE6"/>
    <w:rsid w:val="007505CF"/>
    <w:rsid w:val="0079117A"/>
    <w:rsid w:val="00794582"/>
    <w:rsid w:val="007B604E"/>
    <w:rsid w:val="007B7A0A"/>
    <w:rsid w:val="007C68FB"/>
    <w:rsid w:val="007C70BD"/>
    <w:rsid w:val="007D0EC5"/>
    <w:rsid w:val="007D115B"/>
    <w:rsid w:val="007D2849"/>
    <w:rsid w:val="007E199A"/>
    <w:rsid w:val="007E48C9"/>
    <w:rsid w:val="00834CF7"/>
    <w:rsid w:val="008370C1"/>
    <w:rsid w:val="0084226F"/>
    <w:rsid w:val="00870B02"/>
    <w:rsid w:val="00887117"/>
    <w:rsid w:val="008C224B"/>
    <w:rsid w:val="008C7F11"/>
    <w:rsid w:val="008D56AE"/>
    <w:rsid w:val="008D6C63"/>
    <w:rsid w:val="008E43C7"/>
    <w:rsid w:val="008F2948"/>
    <w:rsid w:val="008F3607"/>
    <w:rsid w:val="008F3DA6"/>
    <w:rsid w:val="008F55AE"/>
    <w:rsid w:val="00902F3C"/>
    <w:rsid w:val="0091487A"/>
    <w:rsid w:val="00926F20"/>
    <w:rsid w:val="00944662"/>
    <w:rsid w:val="00957CDC"/>
    <w:rsid w:val="009626AB"/>
    <w:rsid w:val="00964DA3"/>
    <w:rsid w:val="0098197F"/>
    <w:rsid w:val="00982A9E"/>
    <w:rsid w:val="009876B0"/>
    <w:rsid w:val="00987F7A"/>
    <w:rsid w:val="0099242F"/>
    <w:rsid w:val="00993690"/>
    <w:rsid w:val="009949F0"/>
    <w:rsid w:val="009A1FF7"/>
    <w:rsid w:val="009A4345"/>
    <w:rsid w:val="009B313D"/>
    <w:rsid w:val="009B3A6F"/>
    <w:rsid w:val="009D502E"/>
    <w:rsid w:val="009F1781"/>
    <w:rsid w:val="009F2041"/>
    <w:rsid w:val="00A02422"/>
    <w:rsid w:val="00A32928"/>
    <w:rsid w:val="00A57A2C"/>
    <w:rsid w:val="00A75D69"/>
    <w:rsid w:val="00A8720B"/>
    <w:rsid w:val="00A917F9"/>
    <w:rsid w:val="00A949A3"/>
    <w:rsid w:val="00A96601"/>
    <w:rsid w:val="00B11D1A"/>
    <w:rsid w:val="00B1519F"/>
    <w:rsid w:val="00B2215D"/>
    <w:rsid w:val="00B3391B"/>
    <w:rsid w:val="00B505FF"/>
    <w:rsid w:val="00B522CF"/>
    <w:rsid w:val="00B66249"/>
    <w:rsid w:val="00B75062"/>
    <w:rsid w:val="00B9730A"/>
    <w:rsid w:val="00BA4CC3"/>
    <w:rsid w:val="00BB3073"/>
    <w:rsid w:val="00BB4EFE"/>
    <w:rsid w:val="00BB5831"/>
    <w:rsid w:val="00BB7012"/>
    <w:rsid w:val="00BC0535"/>
    <w:rsid w:val="00BC0F0D"/>
    <w:rsid w:val="00BD34BD"/>
    <w:rsid w:val="00C176DF"/>
    <w:rsid w:val="00C377A0"/>
    <w:rsid w:val="00C41AA2"/>
    <w:rsid w:val="00C46DDD"/>
    <w:rsid w:val="00C643D2"/>
    <w:rsid w:val="00C65A6B"/>
    <w:rsid w:val="00C93E8C"/>
    <w:rsid w:val="00CA5B51"/>
    <w:rsid w:val="00CB09B4"/>
    <w:rsid w:val="00CB1DEF"/>
    <w:rsid w:val="00CB3009"/>
    <w:rsid w:val="00CB57F1"/>
    <w:rsid w:val="00CC67A6"/>
    <w:rsid w:val="00CD4336"/>
    <w:rsid w:val="00CE21E9"/>
    <w:rsid w:val="00CF03F9"/>
    <w:rsid w:val="00CF5C5D"/>
    <w:rsid w:val="00D1690B"/>
    <w:rsid w:val="00D2117D"/>
    <w:rsid w:val="00D226EC"/>
    <w:rsid w:val="00D5697A"/>
    <w:rsid w:val="00D66D6F"/>
    <w:rsid w:val="00D72E26"/>
    <w:rsid w:val="00DA5921"/>
    <w:rsid w:val="00DA5BEF"/>
    <w:rsid w:val="00DC440D"/>
    <w:rsid w:val="00DC4871"/>
    <w:rsid w:val="00DC6ABE"/>
    <w:rsid w:val="00DD361A"/>
    <w:rsid w:val="00DE2E79"/>
    <w:rsid w:val="00E02A31"/>
    <w:rsid w:val="00E14881"/>
    <w:rsid w:val="00E260DB"/>
    <w:rsid w:val="00E30AA0"/>
    <w:rsid w:val="00E33A6B"/>
    <w:rsid w:val="00E3560F"/>
    <w:rsid w:val="00E5537B"/>
    <w:rsid w:val="00E66960"/>
    <w:rsid w:val="00E707BD"/>
    <w:rsid w:val="00E72829"/>
    <w:rsid w:val="00EC2367"/>
    <w:rsid w:val="00EE2FC0"/>
    <w:rsid w:val="00EE4693"/>
    <w:rsid w:val="00EE57E4"/>
    <w:rsid w:val="00F01079"/>
    <w:rsid w:val="00F05C34"/>
    <w:rsid w:val="00F12C5C"/>
    <w:rsid w:val="00F52C0D"/>
    <w:rsid w:val="00F67132"/>
    <w:rsid w:val="00F8372F"/>
    <w:rsid w:val="00F85ED6"/>
    <w:rsid w:val="00FC7B55"/>
    <w:rsid w:val="13EA2D29"/>
    <w:rsid w:val="1F055078"/>
    <w:rsid w:val="21941AAB"/>
    <w:rsid w:val="316E2211"/>
    <w:rsid w:val="323963CE"/>
    <w:rsid w:val="39124562"/>
    <w:rsid w:val="45763545"/>
    <w:rsid w:val="4C017E10"/>
    <w:rsid w:val="5EA2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360" w:lineRule="auto"/>
      <w:ind w:firstLine="0"/>
      <w:jc w:val="both"/>
    </w:pPr>
    <w:rPr>
      <w:rFonts w:ascii="仿宋_GB2312" w:eastAsia="仿宋_GB2312" w:hAnsiTheme="minorHAnsi" w:cstheme="minorBidi"/>
      <w:kern w:val="2"/>
      <w:sz w:val="28"/>
      <w:szCs w:val="28"/>
      <w:lang w:val="en-US" w:eastAsia="zh-CN" w:bidi="ar-SA"/>
    </w:rPr>
  </w:style>
  <w:style w:type="paragraph" w:styleId="2">
    <w:name w:val="heading 1"/>
    <w:next w:val="3"/>
    <w:link w:val="22"/>
    <w:qFormat/>
    <w:uiPriority w:val="9"/>
    <w:pPr>
      <w:keepNext/>
      <w:keepLines/>
      <w:numPr>
        <w:ilvl w:val="0"/>
        <w:numId w:val="1"/>
      </w:numPr>
      <w:ind w:left="0" w:firstLine="0"/>
      <w:jc w:val="both"/>
      <w:outlineLvl w:val="0"/>
    </w:pPr>
    <w:rPr>
      <w:rFonts w:ascii="Times New Roman" w:hAnsi="Times New Roman" w:eastAsia="仿宋_GB2312" w:cstheme="minorBidi"/>
      <w:b/>
      <w:bCs/>
      <w:kern w:val="44"/>
      <w:sz w:val="30"/>
      <w:szCs w:val="30"/>
      <w:lang w:val="en-US" w:eastAsia="zh-CN" w:bidi="ar-SA"/>
    </w:rPr>
  </w:style>
  <w:style w:type="paragraph" w:styleId="3">
    <w:name w:val="heading 2"/>
    <w:next w:val="4"/>
    <w:link w:val="24"/>
    <w:unhideWhenUsed/>
    <w:qFormat/>
    <w:uiPriority w:val="9"/>
    <w:pPr>
      <w:keepNext/>
      <w:keepLines/>
      <w:numPr>
        <w:ilvl w:val="1"/>
        <w:numId w:val="1"/>
      </w:numPr>
      <w:spacing w:line="360" w:lineRule="auto"/>
      <w:jc w:val="both"/>
      <w:outlineLvl w:val="1"/>
    </w:pPr>
    <w:rPr>
      <w:rFonts w:ascii="Times New Roman" w:hAnsi="Times New Roman" w:eastAsia="仿宋_GB2312" w:cstheme="majorBidi"/>
      <w:b/>
      <w:bCs/>
      <w:kern w:val="2"/>
      <w:sz w:val="30"/>
      <w:szCs w:val="32"/>
      <w:lang w:val="en-US" w:eastAsia="zh-CN" w:bidi="ar-SA"/>
    </w:rPr>
  </w:style>
  <w:style w:type="paragraph" w:styleId="5">
    <w:name w:val="heading 3"/>
    <w:next w:val="4"/>
    <w:link w:val="23"/>
    <w:unhideWhenUsed/>
    <w:qFormat/>
    <w:uiPriority w:val="9"/>
    <w:pPr>
      <w:keepNext/>
      <w:keepLines/>
      <w:numPr>
        <w:ilvl w:val="2"/>
        <w:numId w:val="1"/>
      </w:numPr>
      <w:spacing w:line="360" w:lineRule="auto"/>
      <w:outlineLvl w:val="2"/>
    </w:pPr>
    <w:rPr>
      <w:rFonts w:ascii="仿宋_GB2312" w:eastAsia="仿宋_GB2312" w:hAnsiTheme="minorHAnsi" w:cstheme="minorBidi"/>
      <w:b/>
      <w:bCs/>
      <w:kern w:val="2"/>
      <w:sz w:val="28"/>
      <w:szCs w:val="32"/>
      <w:lang w:val="en-US" w:eastAsia="zh-CN" w:bidi="ar-SA"/>
    </w:rPr>
  </w:style>
  <w:style w:type="paragraph" w:styleId="6">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rPr>
  </w:style>
  <w:style w:type="paragraph" w:styleId="7">
    <w:name w:val="heading 5"/>
    <w:basedOn w:val="1"/>
    <w:next w:val="1"/>
    <w:link w:val="31"/>
    <w:semiHidden/>
    <w:unhideWhenUsed/>
    <w:qFormat/>
    <w:uiPriority w:val="9"/>
    <w:pPr>
      <w:keepNext/>
      <w:keepLines/>
      <w:spacing w:before="280" w:after="290" w:line="376" w:lineRule="auto"/>
      <w:outlineLvl w:val="4"/>
    </w:pPr>
    <w:rPr>
      <w:b/>
      <w:bCs/>
    </w:rPr>
  </w:style>
  <w:style w:type="paragraph" w:styleId="8">
    <w:name w:val="heading 6"/>
    <w:basedOn w:val="1"/>
    <w:next w:val="1"/>
    <w:link w:val="32"/>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3"/>
    <w:semiHidden/>
    <w:unhideWhenUsed/>
    <w:qFormat/>
    <w:uiPriority w:val="9"/>
    <w:pPr>
      <w:keepNext/>
      <w:keepLines/>
      <w:spacing w:before="240" w:after="64" w:line="320" w:lineRule="auto"/>
      <w:outlineLvl w:val="6"/>
    </w:pPr>
    <w:rPr>
      <w:b/>
      <w:bCs/>
      <w:sz w:val="24"/>
      <w:szCs w:val="24"/>
    </w:rPr>
  </w:style>
  <w:style w:type="paragraph" w:styleId="10">
    <w:name w:val="heading 8"/>
    <w:basedOn w:val="1"/>
    <w:next w:val="1"/>
    <w:link w:val="34"/>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35"/>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4">
    <w:name w:val="正文2"/>
    <w:qFormat/>
    <w:uiPriority w:val="0"/>
    <w:pPr>
      <w:widowControl w:val="0"/>
      <w:spacing w:line="360" w:lineRule="auto"/>
      <w:ind w:firstLine="200" w:firstLineChars="200"/>
      <w:jc w:val="both"/>
    </w:pPr>
    <w:rPr>
      <w:rFonts w:ascii="仿宋_GB2312" w:eastAsia="仿宋_GB2312" w:hAnsiTheme="minorHAnsi" w:cstheme="minorBidi"/>
      <w:kern w:val="2"/>
      <w:sz w:val="28"/>
      <w:szCs w:val="28"/>
      <w:lang w:val="en-US" w:eastAsia="zh-CN" w:bidi="ar-SA"/>
    </w:rPr>
  </w:style>
  <w:style w:type="paragraph" w:styleId="12">
    <w:name w:val="caption"/>
    <w:next w:val="1"/>
    <w:unhideWhenUsed/>
    <w:qFormat/>
    <w:uiPriority w:val="35"/>
    <w:pPr>
      <w:ind w:firstLine="0"/>
      <w:jc w:val="center"/>
    </w:pPr>
    <w:rPr>
      <w:rFonts w:ascii="仿宋_GB2312" w:eastAsia="仿宋_GB2312" w:hAnsiTheme="majorHAnsi" w:cstheme="majorBidi"/>
      <w:kern w:val="2"/>
      <w:sz w:val="28"/>
      <w:szCs w:val="20"/>
      <w:lang w:val="en-US" w:eastAsia="zh-CN" w:bidi="ar-SA"/>
    </w:rPr>
  </w:style>
  <w:style w:type="paragraph" w:styleId="13">
    <w:name w:val="Balloon Text"/>
    <w:basedOn w:val="1"/>
    <w:link w:val="44"/>
    <w:semiHidden/>
    <w:unhideWhenUsed/>
    <w:qFormat/>
    <w:uiPriority w:val="99"/>
    <w:rPr>
      <w:sz w:val="18"/>
      <w:szCs w:val="18"/>
    </w:rPr>
  </w:style>
  <w:style w:type="paragraph" w:styleId="14">
    <w:name w:val="footer"/>
    <w:basedOn w:val="1"/>
    <w:link w:val="21"/>
    <w:unhideWhenUsed/>
    <w:qFormat/>
    <w:uiPriority w:val="99"/>
    <w:pPr>
      <w:tabs>
        <w:tab w:val="center" w:pos="4153"/>
        <w:tab w:val="right" w:pos="8306"/>
      </w:tabs>
      <w:snapToGrid w:val="0"/>
    </w:pPr>
    <w:rPr>
      <w:sz w:val="18"/>
      <w:szCs w:val="18"/>
    </w:rPr>
  </w:style>
  <w:style w:type="paragraph" w:styleId="15">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itle"/>
    <w:next w:val="4"/>
    <w:link w:val="26"/>
    <w:qFormat/>
    <w:uiPriority w:val="10"/>
    <w:pPr>
      <w:ind w:firstLine="883"/>
      <w:jc w:val="center"/>
      <w:outlineLvl w:val="0"/>
    </w:pPr>
    <w:rPr>
      <w:rFonts w:ascii="仿宋_GB2312" w:eastAsia="仿宋_GB2312" w:hAnsiTheme="majorHAnsi" w:cstheme="majorBidi"/>
      <w:b/>
      <w:bCs/>
      <w:kern w:val="2"/>
      <w:sz w:val="44"/>
      <w:szCs w:val="32"/>
      <w:lang w:val="en-US" w:eastAsia="zh-CN" w:bidi="ar-SA"/>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页眉 字符"/>
    <w:basedOn w:val="19"/>
    <w:link w:val="15"/>
    <w:qFormat/>
    <w:uiPriority w:val="99"/>
    <w:rPr>
      <w:sz w:val="18"/>
      <w:szCs w:val="18"/>
    </w:rPr>
  </w:style>
  <w:style w:type="character" w:customStyle="1" w:styleId="21">
    <w:name w:val="页脚 字符"/>
    <w:basedOn w:val="19"/>
    <w:link w:val="14"/>
    <w:qFormat/>
    <w:uiPriority w:val="99"/>
    <w:rPr>
      <w:sz w:val="18"/>
      <w:szCs w:val="18"/>
    </w:rPr>
  </w:style>
  <w:style w:type="character" w:customStyle="1" w:styleId="22">
    <w:name w:val="标题 1 字符"/>
    <w:basedOn w:val="19"/>
    <w:link w:val="2"/>
    <w:qFormat/>
    <w:uiPriority w:val="9"/>
    <w:rPr>
      <w:rFonts w:ascii="Times New Roman" w:hAnsi="Times New Roman" w:eastAsia="仿宋_GB2312"/>
      <w:b/>
      <w:bCs/>
      <w:kern w:val="44"/>
      <w:sz w:val="30"/>
      <w:szCs w:val="30"/>
    </w:rPr>
  </w:style>
  <w:style w:type="character" w:customStyle="1" w:styleId="23">
    <w:name w:val="标题 3 字符"/>
    <w:basedOn w:val="19"/>
    <w:link w:val="5"/>
    <w:qFormat/>
    <w:uiPriority w:val="9"/>
    <w:rPr>
      <w:rFonts w:ascii="仿宋_GB2312" w:eastAsia="仿宋_GB2312"/>
      <w:b/>
      <w:bCs/>
      <w:sz w:val="28"/>
      <w:szCs w:val="32"/>
    </w:rPr>
  </w:style>
  <w:style w:type="character" w:customStyle="1" w:styleId="24">
    <w:name w:val="标题 2 字符"/>
    <w:basedOn w:val="19"/>
    <w:link w:val="3"/>
    <w:qFormat/>
    <w:uiPriority w:val="9"/>
    <w:rPr>
      <w:rFonts w:ascii="Times New Roman" w:hAnsi="Times New Roman" w:eastAsia="仿宋_GB2312" w:cstheme="majorBidi"/>
      <w:b/>
      <w:bCs/>
      <w:sz w:val="30"/>
      <w:szCs w:val="32"/>
    </w:rPr>
  </w:style>
  <w:style w:type="paragraph" w:styleId="25">
    <w:name w:val="List Paragraph"/>
    <w:basedOn w:val="1"/>
    <w:next w:val="1"/>
    <w:qFormat/>
    <w:uiPriority w:val="34"/>
    <w:pPr>
      <w:numPr>
        <w:ilvl w:val="0"/>
        <w:numId w:val="2"/>
      </w:numPr>
      <w:ind w:left="0" w:firstLine="0"/>
    </w:pPr>
  </w:style>
  <w:style w:type="character" w:customStyle="1" w:styleId="26">
    <w:name w:val="标题 字符"/>
    <w:basedOn w:val="19"/>
    <w:link w:val="16"/>
    <w:qFormat/>
    <w:uiPriority w:val="10"/>
    <w:rPr>
      <w:rFonts w:ascii="仿宋_GB2312" w:eastAsia="仿宋_GB2312" w:hAnsiTheme="majorHAnsi" w:cstheme="majorBidi"/>
      <w:b/>
      <w:bCs/>
      <w:sz w:val="44"/>
      <w:szCs w:val="32"/>
    </w:rPr>
  </w:style>
  <w:style w:type="paragraph" w:styleId="27">
    <w:name w:val="No Spacing"/>
    <w:qFormat/>
    <w:uiPriority w:val="1"/>
    <w:pPr>
      <w:widowControl w:val="0"/>
      <w:wordWrap w:val="0"/>
      <w:ind w:firstLine="200" w:firstLineChars="200"/>
    </w:pPr>
    <w:rPr>
      <w:rFonts w:ascii="仿宋_GB2312" w:eastAsia="仿宋_GB2312" w:hAnsiTheme="minorHAnsi" w:cstheme="minorBidi"/>
      <w:kern w:val="2"/>
      <w:sz w:val="28"/>
      <w:szCs w:val="21"/>
      <w:lang w:val="en-US" w:eastAsia="zh-CN" w:bidi="ar-SA"/>
    </w:rPr>
  </w:style>
  <w:style w:type="table" w:customStyle="1" w:styleId="28">
    <w:name w:val="Grid Table 6 Colorful Accent 6"/>
    <w:basedOn w:val="17"/>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character" w:customStyle="1" w:styleId="29">
    <w:name w:val="Book Title"/>
    <w:basedOn w:val="19"/>
    <w:qFormat/>
    <w:uiPriority w:val="33"/>
    <w:rPr>
      <w:b/>
      <w:bCs/>
      <w:i/>
      <w:iCs/>
      <w:spacing w:val="5"/>
    </w:rPr>
  </w:style>
  <w:style w:type="character" w:customStyle="1" w:styleId="30">
    <w:name w:val="标题 4 字符"/>
    <w:basedOn w:val="19"/>
    <w:link w:val="6"/>
    <w:semiHidden/>
    <w:qFormat/>
    <w:uiPriority w:val="9"/>
    <w:rPr>
      <w:rFonts w:asciiTheme="majorHAnsi" w:hAnsiTheme="majorHAnsi" w:eastAsiaTheme="majorEastAsia" w:cstheme="majorBidi"/>
      <w:b/>
      <w:bCs/>
      <w:sz w:val="28"/>
      <w:szCs w:val="28"/>
    </w:rPr>
  </w:style>
  <w:style w:type="character" w:customStyle="1" w:styleId="31">
    <w:name w:val="标题 5 字符"/>
    <w:basedOn w:val="19"/>
    <w:link w:val="7"/>
    <w:semiHidden/>
    <w:qFormat/>
    <w:uiPriority w:val="9"/>
    <w:rPr>
      <w:rFonts w:ascii="仿宋_GB2312" w:eastAsia="仿宋_GB2312"/>
      <w:b/>
      <w:bCs/>
      <w:sz w:val="28"/>
      <w:szCs w:val="28"/>
    </w:rPr>
  </w:style>
  <w:style w:type="character" w:customStyle="1" w:styleId="32">
    <w:name w:val="标题 6 字符"/>
    <w:basedOn w:val="19"/>
    <w:link w:val="8"/>
    <w:semiHidden/>
    <w:qFormat/>
    <w:uiPriority w:val="9"/>
    <w:rPr>
      <w:rFonts w:asciiTheme="majorHAnsi" w:hAnsiTheme="majorHAnsi" w:eastAsiaTheme="majorEastAsia" w:cstheme="majorBidi"/>
      <w:b/>
      <w:bCs/>
      <w:sz w:val="24"/>
      <w:szCs w:val="24"/>
    </w:rPr>
  </w:style>
  <w:style w:type="character" w:customStyle="1" w:styleId="33">
    <w:name w:val="标题 7 字符"/>
    <w:basedOn w:val="19"/>
    <w:link w:val="9"/>
    <w:semiHidden/>
    <w:qFormat/>
    <w:uiPriority w:val="9"/>
    <w:rPr>
      <w:rFonts w:ascii="仿宋_GB2312" w:eastAsia="仿宋_GB2312"/>
      <w:b/>
      <w:bCs/>
      <w:sz w:val="24"/>
      <w:szCs w:val="24"/>
    </w:rPr>
  </w:style>
  <w:style w:type="character" w:customStyle="1" w:styleId="34">
    <w:name w:val="标题 8 字符"/>
    <w:basedOn w:val="19"/>
    <w:link w:val="10"/>
    <w:semiHidden/>
    <w:qFormat/>
    <w:uiPriority w:val="9"/>
    <w:rPr>
      <w:rFonts w:asciiTheme="majorHAnsi" w:hAnsiTheme="majorHAnsi" w:eastAsiaTheme="majorEastAsia" w:cstheme="majorBidi"/>
      <w:sz w:val="24"/>
      <w:szCs w:val="24"/>
    </w:rPr>
  </w:style>
  <w:style w:type="character" w:customStyle="1" w:styleId="35">
    <w:name w:val="标题 9 字符"/>
    <w:basedOn w:val="19"/>
    <w:link w:val="11"/>
    <w:semiHidden/>
    <w:qFormat/>
    <w:uiPriority w:val="9"/>
    <w:rPr>
      <w:rFonts w:asciiTheme="majorHAnsi" w:hAnsiTheme="majorHAnsi" w:eastAsiaTheme="majorEastAsia" w:cstheme="majorBidi"/>
      <w:szCs w:val="21"/>
    </w:rPr>
  </w:style>
  <w:style w:type="paragraph" w:customStyle="1" w:styleId="36">
    <w:name w:val="图片"/>
    <w:link w:val="38"/>
    <w:qFormat/>
    <w:uiPriority w:val="0"/>
    <w:pPr>
      <w:keepNext/>
      <w:ind w:firstLine="0"/>
      <w:jc w:val="center"/>
    </w:pPr>
    <w:rPr>
      <w:rFonts w:ascii="仿宋_GB2312" w:eastAsia="仿宋_GB2312" w:hAnsiTheme="minorHAnsi" w:cstheme="minorBidi"/>
      <w:kern w:val="2"/>
      <w:sz w:val="28"/>
      <w:szCs w:val="28"/>
      <w:lang w:val="en-US" w:eastAsia="zh-CN" w:bidi="ar-SA"/>
    </w:rPr>
  </w:style>
  <w:style w:type="paragraph" w:customStyle="1" w:styleId="37">
    <w:name w:val="表格样式"/>
    <w:link w:val="40"/>
    <w:qFormat/>
    <w:uiPriority w:val="0"/>
    <w:pPr>
      <w:keepLines/>
      <w:suppressAutoHyphens/>
      <w:ind w:firstLine="0"/>
      <w:jc w:val="center"/>
    </w:pPr>
    <w:rPr>
      <w:rFonts w:ascii="仿宋_GB2312" w:eastAsia="仿宋_GB2312" w:hAnsiTheme="minorHAnsi" w:cstheme="minorBidi"/>
      <w:kern w:val="2"/>
      <w:sz w:val="21"/>
      <w:szCs w:val="21"/>
      <w:lang w:val="en-US" w:eastAsia="zh-CN" w:bidi="ar-SA"/>
    </w:rPr>
  </w:style>
  <w:style w:type="character" w:customStyle="1" w:styleId="38">
    <w:name w:val="图片 字符"/>
    <w:basedOn w:val="19"/>
    <w:link w:val="36"/>
    <w:qFormat/>
    <w:uiPriority w:val="0"/>
    <w:rPr>
      <w:rFonts w:ascii="仿宋_GB2312" w:eastAsia="仿宋_GB2312"/>
      <w:sz w:val="28"/>
      <w:szCs w:val="28"/>
    </w:rPr>
  </w:style>
  <w:style w:type="paragraph" w:customStyle="1" w:styleId="39">
    <w:name w:val="图表标注"/>
    <w:basedOn w:val="1"/>
    <w:link w:val="41"/>
    <w:qFormat/>
    <w:uiPriority w:val="0"/>
    <w:pPr>
      <w:jc w:val="center"/>
    </w:pPr>
    <w:rPr>
      <w:rFonts w:hAnsi="黑体" w:cs="Times New Roman"/>
      <w:b/>
      <w:color w:val="000000"/>
      <w:kern w:val="0"/>
      <w:sz w:val="24"/>
      <w:szCs w:val="20"/>
      <w:lang w:val="zh-CN" w:eastAsia="zh-CN"/>
    </w:rPr>
  </w:style>
  <w:style w:type="character" w:customStyle="1" w:styleId="40">
    <w:name w:val="表格样式 字符"/>
    <w:basedOn w:val="19"/>
    <w:link w:val="37"/>
    <w:qFormat/>
    <w:uiPriority w:val="0"/>
    <w:rPr>
      <w:rFonts w:ascii="仿宋_GB2312" w:eastAsia="仿宋_GB2312"/>
    </w:rPr>
  </w:style>
  <w:style w:type="character" w:customStyle="1" w:styleId="41">
    <w:name w:val="图表标注 Char"/>
    <w:link w:val="39"/>
    <w:qFormat/>
    <w:uiPriority w:val="0"/>
    <w:rPr>
      <w:rFonts w:ascii="仿宋_GB2312" w:hAnsi="黑体" w:eastAsia="仿宋_GB2312" w:cs="Times New Roman"/>
      <w:b/>
      <w:color w:val="000000"/>
      <w:kern w:val="0"/>
      <w:sz w:val="24"/>
      <w:szCs w:val="20"/>
      <w:lang w:val="zh-CN" w:eastAsia="zh-CN"/>
    </w:rPr>
  </w:style>
  <w:style w:type="paragraph" w:customStyle="1" w:styleId="42">
    <w:name w:val="表格小节"/>
    <w:next w:val="1"/>
    <w:link w:val="43"/>
    <w:qFormat/>
    <w:uiPriority w:val="0"/>
    <w:pPr>
      <w:keepNext/>
      <w:spacing w:before="190" w:after="190"/>
      <w:ind w:firstLine="0"/>
      <w:jc w:val="center"/>
      <w:outlineLvl w:val="3"/>
    </w:pPr>
    <w:rPr>
      <w:rFonts w:ascii="仿宋_GB2312" w:eastAsia="仿宋_GB2312" w:hAnsiTheme="minorHAnsi" w:cstheme="minorBidi"/>
      <w:b/>
      <w:bCs/>
      <w:kern w:val="2"/>
      <w:sz w:val="28"/>
      <w:szCs w:val="28"/>
      <w:lang w:val="en-US" w:eastAsia="zh-CN" w:bidi="ar-SA"/>
    </w:rPr>
  </w:style>
  <w:style w:type="character" w:customStyle="1" w:styleId="43">
    <w:name w:val="表格小节 字符"/>
    <w:basedOn w:val="19"/>
    <w:link w:val="42"/>
    <w:qFormat/>
    <w:uiPriority w:val="0"/>
    <w:rPr>
      <w:rFonts w:ascii="仿宋_GB2312" w:eastAsia="仿宋_GB2312"/>
      <w:b/>
      <w:bCs/>
      <w:sz w:val="28"/>
      <w:szCs w:val="28"/>
    </w:rPr>
  </w:style>
  <w:style w:type="character" w:customStyle="1" w:styleId="44">
    <w:name w:val="批注框文本 字符"/>
    <w:basedOn w:val="19"/>
    <w:link w:val="13"/>
    <w:semiHidden/>
    <w:qFormat/>
    <w:uiPriority w:val="99"/>
    <w:rPr>
      <w:rFonts w:ascii="仿宋_GB2312" w:eastAsia="仿宋_GB2312"/>
      <w:sz w:val="18"/>
      <w:szCs w:val="18"/>
    </w:rPr>
  </w:style>
  <w:style w:type="paragraph" w:customStyle="1" w:styleId="45">
    <w:name w:val="小标题编号"/>
    <w:basedOn w:val="25"/>
    <w:next w:val="1"/>
    <w:qFormat/>
    <w:uiPriority w:val="0"/>
    <w:pPr>
      <w:ind w:left="573" w:hanging="170"/>
    </w:pPr>
  </w:style>
  <w:style w:type="paragraph" w:customStyle="1" w:styleId="46">
    <w:name w:val="正文编号"/>
    <w:next w:val="4"/>
    <w:qFormat/>
    <w:uiPriority w:val="0"/>
    <w:pPr>
      <w:widowControl w:val="0"/>
      <w:numPr>
        <w:ilvl w:val="0"/>
        <w:numId w:val="3"/>
      </w:numPr>
      <w:spacing w:line="360" w:lineRule="auto"/>
      <w:jc w:val="both"/>
    </w:pPr>
    <w:rPr>
      <w:rFonts w:ascii="仿宋_GB2312" w:eastAsia="仿宋_GB2312" w:hAnsiTheme="minorHAnsi" w:cstheme="minorBidi"/>
      <w:kern w:val="2"/>
      <w:sz w:val="28"/>
      <w:szCs w:val="28"/>
      <w:lang w:val="en-US" w:eastAsia="zh-CN" w:bidi="ar-SA"/>
    </w:rPr>
  </w:style>
  <w:style w:type="paragraph" w:customStyle="1" w:styleId="47">
    <w:name w:val="专用正文"/>
    <w:basedOn w:val="1"/>
    <w:link w:val="48"/>
    <w:qFormat/>
    <w:uiPriority w:val="0"/>
    <w:pPr>
      <w:wordWrap/>
      <w:ind w:firstLine="200" w:firstLineChars="200"/>
    </w:pPr>
    <w:rPr>
      <w:rFonts w:ascii="Times New Roman" w:hAnsi="Times New Roman" w:eastAsia="宋体" w:cs="Times New Roman"/>
      <w:sz w:val="24"/>
      <w:szCs w:val="20"/>
    </w:rPr>
  </w:style>
  <w:style w:type="character" w:customStyle="1" w:styleId="48">
    <w:name w:val="专用正文 字符"/>
    <w:link w:val="47"/>
    <w:qFormat/>
    <w:uiPriority w:val="0"/>
    <w:rPr>
      <w:rFonts w:ascii="Times New Roman"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eko\Documents\&#33258;&#23450;&#20041;%20Office%20&#27169;&#26495;\02%20&#36947;&#36335;&#29031;&#26126;&#35774;&#35745;&#35828;&#26126;&#31532;&#22235;&#2925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市政说明">
      <a:majorFont>
        <a:latin typeface="仿宋_GB2312"/>
        <a:ea typeface="仿宋_GB2312"/>
        <a:cs typeface=""/>
      </a:majorFont>
      <a:minorFont>
        <a:latin typeface="仿宋_GB2312"/>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447E6-85D9-4DC5-9826-8EF31A257772}">
  <ds:schemaRefs/>
</ds:datastoreItem>
</file>

<file path=docProps/app.xml><?xml version="1.0" encoding="utf-8"?>
<Properties xmlns="http://schemas.openxmlformats.org/officeDocument/2006/extended-properties" xmlns:vt="http://schemas.openxmlformats.org/officeDocument/2006/docPropsVTypes">
  <Template>02 道路照明设计说明第四版.dotx</Template>
  <Pages>7</Pages>
  <Words>7187</Words>
  <Characters>8328</Characters>
  <Lines>60</Lines>
  <Paragraphs>17</Paragraphs>
  <TotalTime>11</TotalTime>
  <ScaleCrop>false</ScaleCrop>
  <LinksUpToDate>false</LinksUpToDate>
  <CharactersWithSpaces>8335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2022-03-05T07:05:00Z</dcterms:created>
  <dc:creator>郭林鑫</dc:creator>
  <cp:lastModifiedBy>微信用户</cp:lastModifiedBy>
  <cp:lastPrinted>2020-05-13T04:11:00Z</cp:lastPrinted>
  <dcterms:modified xsi:type="dcterms:W3CDTF">2025-07-28T09:29:50Z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eyJoZGlkIjoiZjUyZTAwNGNiNjAyYmQ3YjgwM2EzZWU4Mzg3NWIwYWQiLCJ1c2VySWQiOiIxMjQwMTAwMjU4In0=</vt:lpwstr>
  </property>
  <property fmtid="{D5CDD505-2E9C-101B-9397-08002B2CF9AE}" pid="3" name="KSOProductBuildVer">
    <vt:lpwstr>2052-12.1.0.21915</vt:lpwstr>
  </property>
  <property fmtid="{D5CDD505-2E9C-101B-9397-08002B2CF9AE}" pid="4" name="ICV">
    <vt:lpwstr>7A5BF71EABA541AE9337962BCA2F4E82_12</vt:lpwstr>
  </property>
</Properties>
</file>